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45" w:rsidRPr="00FE4B89" w:rsidRDefault="007A7E45" w:rsidP="00FE4B89">
      <w:bookmarkStart w:id="0" w:name="_GoBack"/>
      <w:bookmarkEnd w:id="0"/>
    </w:p>
    <w:p w:rsidR="00C3023F" w:rsidRDefault="00B507DA">
      <w:pPr>
        <w:pStyle w:val="Heading2"/>
      </w:pPr>
      <w:r>
        <w:t>02030 Ured za zakonodavstvo</w:t>
      </w:r>
    </w:p>
    <w:p w:rsidR="00C3023F" w:rsidRDefault="00B507DA">
      <w:r>
        <w:t>Poslovi Ureda obuhvaćaju cjelokupni postupak donošenja odluka Vlade, od samog zakonodavnog planiranja, koraka procjene učinaka propisa, savjetovanja s javnošću, poslovničke procedure te pripreme i pravodobne objave zakona i drugih propisa u Narodnim novina</w:t>
      </w:r>
      <w:r>
        <w:t xml:space="preserve">ma za sva tijela državne uprave sukladno zakonu kojim se uređuje ustrojstvo i djelokrug ministarstava i drugih tijela državne uprave.  </w:t>
      </w:r>
    </w:p>
    <w:p w:rsidR="00C3023F" w:rsidRDefault="00B507DA">
      <w:r>
        <w:t>Sukladno nadležnosti Ureda, poslovi se odvijaju redovito svake godine, a tako se planira i u nadolazećem razdoblju od 20</w:t>
      </w:r>
      <w:r>
        <w:t>24. do 2026. godine. Uz redovite poslove, Ured je spreman na sve ostale (neplanirane) poslove i posebne zadaće sukladno zaduženjima Vlade Republike Hrvatske i Ureda predsjednika Vlade Republike Hrvatske, što je Ured do sada kvalitetno i pravodobno izvršava</w:t>
      </w:r>
      <w:r>
        <w:t xml:space="preserve">o.  </w:t>
      </w:r>
    </w:p>
    <w:p w:rsidR="00C3023F" w:rsidRDefault="00B507DA">
      <w:r>
        <w:t>Tijekom 2024. godine, obavljat će se poslovi na provedbi projekta "Strengthening the application of ex-post evaluation in Croatia", financiranog sredstvima Europske komisije (iz eng. Technical Support Instrument-a) i njemačkog saveznog ministarstva za</w:t>
      </w:r>
      <w:r>
        <w:t xml:space="preserve"> gospodarstvo i zaštitu klime.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41"/>
        <w:gridCol w:w="1557"/>
        <w:gridCol w:w="1549"/>
        <w:gridCol w:w="1563"/>
        <w:gridCol w:w="1563"/>
        <w:gridCol w:w="1563"/>
        <w:gridCol w:w="970"/>
      </w:tblGrid>
      <w:tr w:rsidR="00C3023F">
        <w:trPr>
          <w:jc w:val="center"/>
        </w:trPr>
        <w:tc>
          <w:tcPr>
            <w:tcW w:w="1530" w:type="dxa"/>
            <w:shd w:val="clear" w:color="auto" w:fill="B5C0D8"/>
          </w:tcPr>
          <w:p w:rsidR="00C3023F" w:rsidRDefault="00C3023F">
            <w:pPr>
              <w:pStyle w:val="CellHeader"/>
              <w:jc w:val="center"/>
            </w:pPr>
          </w:p>
        </w:tc>
        <w:tc>
          <w:tcPr>
            <w:tcW w:w="1632" w:type="dxa"/>
            <w:shd w:val="clear" w:color="auto" w:fill="B5C0D8"/>
          </w:tcPr>
          <w:p w:rsidR="00C3023F" w:rsidRDefault="00B507DA">
            <w:pPr>
              <w:pStyle w:val="CellHeader"/>
              <w:jc w:val="center"/>
            </w:pPr>
            <w:r>
              <w:rPr>
                <w:rFonts w:cs="Times New Roman"/>
              </w:rPr>
              <w:t>Izvršenje 2022.</w:t>
            </w:r>
          </w:p>
        </w:tc>
        <w:tc>
          <w:tcPr>
            <w:tcW w:w="1632" w:type="dxa"/>
            <w:shd w:val="clear" w:color="auto" w:fill="B5C0D8"/>
          </w:tcPr>
          <w:p w:rsidR="00C3023F" w:rsidRDefault="00B507DA">
            <w:pPr>
              <w:pStyle w:val="CellHeader"/>
              <w:jc w:val="center"/>
            </w:pPr>
            <w:r>
              <w:rPr>
                <w:rFonts w:cs="Times New Roman"/>
              </w:rPr>
              <w:t>Plan 2023.</w:t>
            </w:r>
          </w:p>
        </w:tc>
        <w:tc>
          <w:tcPr>
            <w:tcW w:w="1632" w:type="dxa"/>
            <w:shd w:val="clear" w:color="auto" w:fill="B5C0D8"/>
          </w:tcPr>
          <w:p w:rsidR="00C3023F" w:rsidRDefault="00B507DA">
            <w:pPr>
              <w:pStyle w:val="CellHeader"/>
              <w:jc w:val="center"/>
            </w:pPr>
            <w:r>
              <w:rPr>
                <w:rFonts w:cs="Times New Roman"/>
              </w:rPr>
              <w:t>Plan 2024.</w:t>
            </w:r>
          </w:p>
        </w:tc>
        <w:tc>
          <w:tcPr>
            <w:tcW w:w="1632" w:type="dxa"/>
            <w:shd w:val="clear" w:color="auto" w:fill="B5C0D8"/>
          </w:tcPr>
          <w:p w:rsidR="00C3023F" w:rsidRDefault="00B507DA">
            <w:pPr>
              <w:pStyle w:val="CellHeader"/>
              <w:jc w:val="center"/>
            </w:pPr>
            <w:r>
              <w:rPr>
                <w:rFonts w:cs="Times New Roman"/>
              </w:rPr>
              <w:t>Plan 2025.</w:t>
            </w:r>
          </w:p>
        </w:tc>
        <w:tc>
          <w:tcPr>
            <w:tcW w:w="1632" w:type="dxa"/>
            <w:shd w:val="clear" w:color="auto" w:fill="B5C0D8"/>
          </w:tcPr>
          <w:p w:rsidR="00C3023F" w:rsidRDefault="00B507DA">
            <w:pPr>
              <w:pStyle w:val="CellHeader"/>
              <w:jc w:val="center"/>
            </w:pPr>
            <w:r>
              <w:rPr>
                <w:rFonts w:cs="Times New Roman"/>
              </w:rPr>
              <w:t>Plan 2026.</w:t>
            </w:r>
          </w:p>
        </w:tc>
        <w:tc>
          <w:tcPr>
            <w:tcW w:w="510" w:type="dxa"/>
            <w:shd w:val="clear" w:color="auto" w:fill="B5C0D8"/>
          </w:tcPr>
          <w:p w:rsidR="00C3023F" w:rsidRDefault="00B507DA">
            <w:pPr>
              <w:pStyle w:val="CellHeader"/>
              <w:jc w:val="center"/>
            </w:pPr>
            <w:r>
              <w:rPr>
                <w:rFonts w:cs="Times New Roman"/>
              </w:rPr>
              <w:t>Indeks 2024/2023</w:t>
            </w:r>
          </w:p>
        </w:tc>
      </w:tr>
      <w:tr w:rsidR="00C3023F">
        <w:trPr>
          <w:jc w:val="center"/>
        </w:trPr>
        <w:tc>
          <w:tcPr>
            <w:tcW w:w="1530" w:type="dxa"/>
          </w:tcPr>
          <w:p w:rsidR="00C3023F" w:rsidRDefault="00B507DA">
            <w:pPr>
              <w:pStyle w:val="CellColumn"/>
              <w:jc w:val="left"/>
            </w:pPr>
            <w:r>
              <w:rPr>
                <w:rFonts w:cs="Times New Roman"/>
              </w:rPr>
              <w:t>02030</w:t>
            </w:r>
          </w:p>
        </w:tc>
        <w:tc>
          <w:tcPr>
            <w:tcW w:w="1632" w:type="dxa"/>
          </w:tcPr>
          <w:p w:rsidR="00C3023F" w:rsidRDefault="00B507DA">
            <w:pPr>
              <w:jc w:val="right"/>
            </w:pPr>
            <w:r>
              <w:t>760.741</w:t>
            </w:r>
          </w:p>
        </w:tc>
        <w:tc>
          <w:tcPr>
            <w:tcW w:w="1632" w:type="dxa"/>
          </w:tcPr>
          <w:p w:rsidR="00C3023F" w:rsidRDefault="00B507DA">
            <w:pPr>
              <w:jc w:val="right"/>
            </w:pPr>
            <w:r>
              <w:t>956.136</w:t>
            </w:r>
          </w:p>
        </w:tc>
        <w:tc>
          <w:tcPr>
            <w:tcW w:w="1632" w:type="dxa"/>
          </w:tcPr>
          <w:p w:rsidR="00C3023F" w:rsidRDefault="00B507DA">
            <w:pPr>
              <w:jc w:val="right"/>
            </w:pPr>
            <w:r>
              <w:t>1.097.667</w:t>
            </w:r>
          </w:p>
        </w:tc>
        <w:tc>
          <w:tcPr>
            <w:tcW w:w="1632" w:type="dxa"/>
          </w:tcPr>
          <w:p w:rsidR="00C3023F" w:rsidRDefault="00B507DA">
            <w:pPr>
              <w:jc w:val="right"/>
            </w:pPr>
            <w:r>
              <w:t>1.178.625</w:t>
            </w:r>
          </w:p>
        </w:tc>
        <w:tc>
          <w:tcPr>
            <w:tcW w:w="1632" w:type="dxa"/>
          </w:tcPr>
          <w:p w:rsidR="00C3023F" w:rsidRDefault="00B507DA">
            <w:pPr>
              <w:jc w:val="right"/>
            </w:pPr>
            <w:r>
              <w:t>1.181.723</w:t>
            </w:r>
          </w:p>
        </w:tc>
        <w:tc>
          <w:tcPr>
            <w:tcW w:w="510" w:type="dxa"/>
          </w:tcPr>
          <w:p w:rsidR="00C3023F" w:rsidRDefault="00B507DA">
            <w:pPr>
              <w:jc w:val="right"/>
            </w:pPr>
            <w:r>
              <w:t>114,8</w:t>
            </w:r>
          </w:p>
        </w:tc>
      </w:tr>
    </w:tbl>
    <w:p w:rsidR="00C3023F" w:rsidRDefault="00C3023F">
      <w:pPr>
        <w:jc w:val="left"/>
      </w:pPr>
    </w:p>
    <w:p w:rsidR="00C3023F" w:rsidRDefault="00B507DA">
      <w:pPr>
        <w:pStyle w:val="Heading3"/>
      </w:pPr>
      <w:r>
        <w:rPr>
          <w:rFonts w:cs="Times New Roman"/>
        </w:rPr>
        <w:t>2404 USKLAĐIVANJE PRAVNIH AKATA S PRAVNIM PORETKOM REPUBLIKE HRVATSKE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35"/>
        <w:gridCol w:w="1559"/>
        <w:gridCol w:w="1550"/>
        <w:gridCol w:w="1564"/>
        <w:gridCol w:w="1564"/>
        <w:gridCol w:w="1564"/>
        <w:gridCol w:w="970"/>
      </w:tblGrid>
      <w:tr w:rsidR="00C3023F">
        <w:trPr>
          <w:jc w:val="center"/>
        </w:trPr>
        <w:tc>
          <w:tcPr>
            <w:tcW w:w="1530" w:type="dxa"/>
            <w:shd w:val="clear" w:color="auto" w:fill="B5C0D8"/>
          </w:tcPr>
          <w:p w:rsidR="00C3023F" w:rsidRDefault="00C3023F">
            <w:pPr>
              <w:pStyle w:val="CellHeader"/>
              <w:jc w:val="center"/>
            </w:pPr>
          </w:p>
        </w:tc>
        <w:tc>
          <w:tcPr>
            <w:tcW w:w="1632" w:type="dxa"/>
            <w:shd w:val="clear" w:color="auto" w:fill="B5C0D8"/>
          </w:tcPr>
          <w:p w:rsidR="00C3023F" w:rsidRDefault="00B507DA">
            <w:pPr>
              <w:pStyle w:val="CellHeader"/>
              <w:jc w:val="center"/>
            </w:pPr>
            <w:r>
              <w:rPr>
                <w:rFonts w:cs="Times New Roman"/>
              </w:rPr>
              <w:t>Izvršenje 2022.</w:t>
            </w:r>
          </w:p>
        </w:tc>
        <w:tc>
          <w:tcPr>
            <w:tcW w:w="1632" w:type="dxa"/>
            <w:shd w:val="clear" w:color="auto" w:fill="B5C0D8"/>
          </w:tcPr>
          <w:p w:rsidR="00C3023F" w:rsidRDefault="00B507DA">
            <w:pPr>
              <w:pStyle w:val="CellHeader"/>
              <w:jc w:val="center"/>
            </w:pPr>
            <w:r>
              <w:rPr>
                <w:rFonts w:cs="Times New Roman"/>
              </w:rPr>
              <w:t>Plan 2023.</w:t>
            </w:r>
          </w:p>
        </w:tc>
        <w:tc>
          <w:tcPr>
            <w:tcW w:w="1632" w:type="dxa"/>
            <w:shd w:val="clear" w:color="auto" w:fill="B5C0D8"/>
          </w:tcPr>
          <w:p w:rsidR="00C3023F" w:rsidRDefault="00B507DA">
            <w:pPr>
              <w:pStyle w:val="CellHeader"/>
              <w:jc w:val="center"/>
            </w:pPr>
            <w:r>
              <w:rPr>
                <w:rFonts w:cs="Times New Roman"/>
              </w:rPr>
              <w:t>Plan 2024.</w:t>
            </w:r>
          </w:p>
        </w:tc>
        <w:tc>
          <w:tcPr>
            <w:tcW w:w="1632" w:type="dxa"/>
            <w:shd w:val="clear" w:color="auto" w:fill="B5C0D8"/>
          </w:tcPr>
          <w:p w:rsidR="00C3023F" w:rsidRDefault="00B507DA">
            <w:pPr>
              <w:pStyle w:val="CellHeader"/>
              <w:jc w:val="center"/>
            </w:pPr>
            <w:r>
              <w:rPr>
                <w:rFonts w:cs="Times New Roman"/>
              </w:rPr>
              <w:t>Plan 2025.</w:t>
            </w:r>
          </w:p>
        </w:tc>
        <w:tc>
          <w:tcPr>
            <w:tcW w:w="1632" w:type="dxa"/>
            <w:shd w:val="clear" w:color="auto" w:fill="B5C0D8"/>
          </w:tcPr>
          <w:p w:rsidR="00C3023F" w:rsidRDefault="00B507DA">
            <w:pPr>
              <w:pStyle w:val="CellHeader"/>
              <w:jc w:val="center"/>
            </w:pPr>
            <w:r>
              <w:rPr>
                <w:rFonts w:cs="Times New Roman"/>
              </w:rPr>
              <w:t>Plan 2026.</w:t>
            </w:r>
          </w:p>
        </w:tc>
        <w:tc>
          <w:tcPr>
            <w:tcW w:w="510" w:type="dxa"/>
            <w:shd w:val="clear" w:color="auto" w:fill="B5C0D8"/>
          </w:tcPr>
          <w:p w:rsidR="00C3023F" w:rsidRDefault="00B507DA">
            <w:pPr>
              <w:pStyle w:val="CellHeader"/>
              <w:jc w:val="center"/>
            </w:pPr>
            <w:r>
              <w:rPr>
                <w:rFonts w:cs="Times New Roman"/>
              </w:rPr>
              <w:t>Indeks 2024/2023</w:t>
            </w:r>
          </w:p>
        </w:tc>
      </w:tr>
      <w:tr w:rsidR="00C3023F">
        <w:trPr>
          <w:jc w:val="center"/>
        </w:trPr>
        <w:tc>
          <w:tcPr>
            <w:tcW w:w="1530" w:type="dxa"/>
          </w:tcPr>
          <w:p w:rsidR="00C3023F" w:rsidRDefault="00B507DA">
            <w:pPr>
              <w:pStyle w:val="CellColumn"/>
              <w:jc w:val="left"/>
            </w:pPr>
            <w:r>
              <w:rPr>
                <w:rFonts w:cs="Times New Roman"/>
              </w:rPr>
              <w:t>2404</w:t>
            </w:r>
          </w:p>
        </w:tc>
        <w:tc>
          <w:tcPr>
            <w:tcW w:w="1632" w:type="dxa"/>
          </w:tcPr>
          <w:p w:rsidR="00C3023F" w:rsidRDefault="00B507DA">
            <w:pPr>
              <w:jc w:val="right"/>
            </w:pPr>
            <w:r>
              <w:t>760.741</w:t>
            </w:r>
          </w:p>
        </w:tc>
        <w:tc>
          <w:tcPr>
            <w:tcW w:w="1632" w:type="dxa"/>
          </w:tcPr>
          <w:p w:rsidR="00C3023F" w:rsidRDefault="00B507DA">
            <w:pPr>
              <w:jc w:val="right"/>
            </w:pPr>
            <w:r>
              <w:t>956.136</w:t>
            </w:r>
          </w:p>
        </w:tc>
        <w:tc>
          <w:tcPr>
            <w:tcW w:w="1632" w:type="dxa"/>
          </w:tcPr>
          <w:p w:rsidR="00C3023F" w:rsidRDefault="00B507DA">
            <w:pPr>
              <w:jc w:val="right"/>
            </w:pPr>
            <w:r>
              <w:t>1.097.667</w:t>
            </w:r>
          </w:p>
        </w:tc>
        <w:tc>
          <w:tcPr>
            <w:tcW w:w="1632" w:type="dxa"/>
          </w:tcPr>
          <w:p w:rsidR="00C3023F" w:rsidRDefault="00B507DA">
            <w:pPr>
              <w:jc w:val="right"/>
            </w:pPr>
            <w:r>
              <w:t>1.178.625</w:t>
            </w:r>
          </w:p>
        </w:tc>
        <w:tc>
          <w:tcPr>
            <w:tcW w:w="1632" w:type="dxa"/>
          </w:tcPr>
          <w:p w:rsidR="00C3023F" w:rsidRDefault="00B507DA">
            <w:pPr>
              <w:jc w:val="right"/>
            </w:pPr>
            <w:r>
              <w:t>1.181.723</w:t>
            </w:r>
          </w:p>
        </w:tc>
        <w:tc>
          <w:tcPr>
            <w:tcW w:w="510" w:type="dxa"/>
          </w:tcPr>
          <w:p w:rsidR="00C3023F" w:rsidRDefault="00B507DA">
            <w:pPr>
              <w:jc w:val="right"/>
            </w:pPr>
            <w:r>
              <w:t>114,8</w:t>
            </w:r>
          </w:p>
        </w:tc>
      </w:tr>
    </w:tbl>
    <w:p w:rsidR="00C3023F" w:rsidRDefault="00C3023F">
      <w:pPr>
        <w:jc w:val="left"/>
      </w:pPr>
    </w:p>
    <w:p w:rsidR="00C3023F" w:rsidRDefault="00B507DA">
      <w:pPr>
        <w:pStyle w:val="Heading8"/>
        <w:jc w:val="left"/>
      </w:pPr>
      <w:r>
        <w:t>Cilj 1. Poboljšanje kvalitete i procesa donošenja akata Vlade Republike Hrvatske</w:t>
      </w:r>
    </w:p>
    <w:p w:rsidR="00C3023F" w:rsidRDefault="00B507DA">
      <w:pPr>
        <w:pStyle w:val="Heading8"/>
        <w:jc w:val="left"/>
      </w:pPr>
      <w:r>
        <w:t>Pokazatelji učinka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2193"/>
        <w:gridCol w:w="2194"/>
        <w:gridCol w:w="911"/>
        <w:gridCol w:w="918"/>
        <w:gridCol w:w="1236"/>
        <w:gridCol w:w="918"/>
        <w:gridCol w:w="918"/>
        <w:gridCol w:w="918"/>
      </w:tblGrid>
      <w:tr w:rsidR="00C3023F">
        <w:trPr>
          <w:jc w:val="center"/>
        </w:trPr>
        <w:tc>
          <w:tcPr>
            <w:tcW w:w="2245" w:type="dxa"/>
            <w:shd w:val="clear" w:color="auto" w:fill="B5C0D8"/>
          </w:tcPr>
          <w:p w:rsidR="00C3023F" w:rsidRDefault="00B507DA">
            <w:pPr>
              <w:jc w:val="center"/>
            </w:pPr>
            <w:r>
              <w:t>Pokazatelj učinka</w:t>
            </w:r>
          </w:p>
        </w:tc>
        <w:tc>
          <w:tcPr>
            <w:tcW w:w="2245" w:type="dxa"/>
            <w:shd w:val="clear" w:color="auto" w:fill="B5C0D8"/>
          </w:tcPr>
          <w:p w:rsidR="00C3023F" w:rsidRDefault="00B507DA">
            <w:pPr>
              <w:pStyle w:val="CellHeader"/>
              <w:jc w:val="center"/>
            </w:pPr>
            <w:r>
              <w:rPr>
                <w:rFonts w:cs="Times New Roman"/>
              </w:rPr>
              <w:t>Definicija</w:t>
            </w:r>
          </w:p>
        </w:tc>
        <w:tc>
          <w:tcPr>
            <w:tcW w:w="918" w:type="dxa"/>
            <w:shd w:val="clear" w:color="auto" w:fill="B5C0D8"/>
          </w:tcPr>
          <w:p w:rsidR="00C3023F" w:rsidRDefault="00B507DA">
            <w:pPr>
              <w:pStyle w:val="CellHeader"/>
              <w:jc w:val="center"/>
            </w:pPr>
            <w:r>
              <w:rPr>
                <w:rFonts w:cs="Times New Roman"/>
              </w:rPr>
              <w:t>Jedinica</w:t>
            </w:r>
          </w:p>
        </w:tc>
        <w:tc>
          <w:tcPr>
            <w:tcW w:w="918" w:type="dxa"/>
            <w:shd w:val="clear" w:color="auto" w:fill="B5C0D8"/>
          </w:tcPr>
          <w:p w:rsidR="00C3023F" w:rsidRDefault="00B507DA">
            <w:pPr>
              <w:pStyle w:val="CellHeader"/>
              <w:jc w:val="center"/>
            </w:pPr>
            <w:r>
              <w:rPr>
                <w:rFonts w:cs="Times New Roman"/>
              </w:rPr>
              <w:t>Polazna vrijednost</w:t>
            </w:r>
          </w:p>
        </w:tc>
        <w:tc>
          <w:tcPr>
            <w:tcW w:w="918" w:type="dxa"/>
            <w:shd w:val="clear" w:color="auto" w:fill="B5C0D8"/>
          </w:tcPr>
          <w:p w:rsidR="00C3023F" w:rsidRDefault="00B507DA">
            <w:pPr>
              <w:pStyle w:val="CellHeader"/>
              <w:jc w:val="center"/>
            </w:pPr>
            <w:r>
              <w:rPr>
                <w:rFonts w:cs="Times New Roman"/>
              </w:rPr>
              <w:t>Izvor podataka</w:t>
            </w:r>
          </w:p>
        </w:tc>
        <w:tc>
          <w:tcPr>
            <w:tcW w:w="918" w:type="dxa"/>
            <w:shd w:val="clear" w:color="auto" w:fill="B5C0D8"/>
          </w:tcPr>
          <w:p w:rsidR="00C3023F" w:rsidRDefault="00B507DA">
            <w:pPr>
              <w:pStyle w:val="CellHeader"/>
              <w:jc w:val="center"/>
            </w:pPr>
            <w:r>
              <w:rPr>
                <w:rFonts w:cs="Times New Roman"/>
              </w:rPr>
              <w:t>Ciljana vrijednost (2024.)</w:t>
            </w:r>
          </w:p>
        </w:tc>
        <w:tc>
          <w:tcPr>
            <w:tcW w:w="918" w:type="dxa"/>
            <w:shd w:val="clear" w:color="auto" w:fill="B5C0D8"/>
          </w:tcPr>
          <w:p w:rsidR="00C3023F" w:rsidRDefault="00B507DA">
            <w:pPr>
              <w:pStyle w:val="CellHeader"/>
              <w:jc w:val="center"/>
            </w:pPr>
            <w:r>
              <w:rPr>
                <w:rFonts w:cs="Times New Roman"/>
              </w:rPr>
              <w:t>Ciljana vrijednost (2025.)</w:t>
            </w:r>
          </w:p>
        </w:tc>
        <w:tc>
          <w:tcPr>
            <w:tcW w:w="918" w:type="dxa"/>
            <w:shd w:val="clear" w:color="auto" w:fill="B5C0D8"/>
          </w:tcPr>
          <w:p w:rsidR="00C3023F" w:rsidRDefault="00B507DA">
            <w:pPr>
              <w:pStyle w:val="CellHeader"/>
              <w:jc w:val="center"/>
            </w:pPr>
            <w:r>
              <w:rPr>
                <w:rFonts w:cs="Times New Roman"/>
              </w:rPr>
              <w:t>Ciljana vrijednost (2026.)</w:t>
            </w:r>
          </w:p>
        </w:tc>
      </w:tr>
      <w:tr w:rsidR="00C3023F">
        <w:trPr>
          <w:jc w:val="center"/>
        </w:trPr>
        <w:tc>
          <w:tcPr>
            <w:tcW w:w="2245" w:type="dxa"/>
            <w:vAlign w:val="top"/>
          </w:tcPr>
          <w:p w:rsidR="00C3023F" w:rsidRDefault="00B507DA">
            <w:pPr>
              <w:pStyle w:val="CellColumn"/>
              <w:jc w:val="left"/>
            </w:pPr>
            <w:r>
              <w:rPr>
                <w:rFonts w:cs="Times New Roman"/>
              </w:rPr>
              <w:t>Postotak izvršenja Plana zakonodavnih aktivnosti Vlade Republike Hrvatske na godišnjoj razini</w:t>
            </w:r>
          </w:p>
        </w:tc>
        <w:tc>
          <w:tcPr>
            <w:tcW w:w="2245" w:type="dxa"/>
            <w:vAlign w:val="top"/>
          </w:tcPr>
          <w:p w:rsidR="00C3023F" w:rsidRDefault="00B507DA">
            <w:pPr>
              <w:pStyle w:val="CellColumn"/>
              <w:jc w:val="left"/>
            </w:pPr>
            <w:r>
              <w:rPr>
                <w:rFonts w:cs="Times New Roman"/>
              </w:rPr>
              <w:t>Plan zakonodavnih aktivnosti je akt Vlade Republike Hrvatske kojim se planiraju zakonski prijedlozi u tekućoj godini. Uspješnost provedbe ovoga plana utvrđuje se postotkom provedbe u odnosu na početno stanje</w:t>
            </w:r>
          </w:p>
        </w:tc>
        <w:tc>
          <w:tcPr>
            <w:tcW w:w="918" w:type="dxa"/>
          </w:tcPr>
          <w:p w:rsidR="00C3023F" w:rsidRDefault="00B507DA">
            <w:pPr>
              <w:jc w:val="center"/>
            </w:pPr>
            <w:r>
              <w:t>%</w:t>
            </w:r>
          </w:p>
        </w:tc>
        <w:tc>
          <w:tcPr>
            <w:tcW w:w="918" w:type="dxa"/>
          </w:tcPr>
          <w:p w:rsidR="00C3023F" w:rsidRDefault="00B507DA">
            <w:pPr>
              <w:jc w:val="center"/>
            </w:pPr>
            <w:r>
              <w:t>58</w:t>
            </w:r>
          </w:p>
        </w:tc>
        <w:tc>
          <w:tcPr>
            <w:tcW w:w="918" w:type="dxa"/>
          </w:tcPr>
          <w:p w:rsidR="00C3023F" w:rsidRDefault="00B507DA">
            <w:pPr>
              <w:pStyle w:val="CellColumn"/>
              <w:jc w:val="center"/>
            </w:pPr>
            <w:r>
              <w:rPr>
                <w:rFonts w:cs="Times New Roman"/>
              </w:rPr>
              <w:t>Izvješće o provedbi Plana zakonodavnih akti</w:t>
            </w:r>
            <w:r>
              <w:rPr>
                <w:rFonts w:cs="Times New Roman"/>
              </w:rPr>
              <w:t>vnosti Vlade Republike Hrvatske za 2021. godinu</w:t>
            </w:r>
          </w:p>
        </w:tc>
        <w:tc>
          <w:tcPr>
            <w:tcW w:w="918" w:type="dxa"/>
          </w:tcPr>
          <w:p w:rsidR="00C3023F" w:rsidRDefault="00B507DA">
            <w:pPr>
              <w:jc w:val="center"/>
            </w:pPr>
            <w:r>
              <w:t>59</w:t>
            </w:r>
          </w:p>
        </w:tc>
        <w:tc>
          <w:tcPr>
            <w:tcW w:w="918" w:type="dxa"/>
          </w:tcPr>
          <w:p w:rsidR="00C3023F" w:rsidRDefault="00B507DA">
            <w:pPr>
              <w:jc w:val="center"/>
            </w:pPr>
            <w:r>
              <w:t>60</w:t>
            </w:r>
          </w:p>
        </w:tc>
        <w:tc>
          <w:tcPr>
            <w:tcW w:w="918" w:type="dxa"/>
          </w:tcPr>
          <w:p w:rsidR="00C3023F" w:rsidRDefault="00B507DA">
            <w:pPr>
              <w:jc w:val="center"/>
            </w:pPr>
            <w:r>
              <w:t>63</w:t>
            </w:r>
          </w:p>
        </w:tc>
      </w:tr>
    </w:tbl>
    <w:p w:rsidR="00C3023F" w:rsidRDefault="00C3023F">
      <w:pPr>
        <w:jc w:val="left"/>
      </w:pPr>
    </w:p>
    <w:p w:rsidR="00C3023F" w:rsidRDefault="00B507DA">
      <w:pPr>
        <w:pStyle w:val="Heading4"/>
      </w:pPr>
      <w:r>
        <w:t>A514000 ADMINISTRACIJA I UPRAVLJANJE</w:t>
      </w:r>
    </w:p>
    <w:p w:rsidR="00C3023F" w:rsidRDefault="00B507DA">
      <w:pPr>
        <w:pStyle w:val="Heading8"/>
        <w:jc w:val="left"/>
      </w:pPr>
      <w:r>
        <w:t>Zakonske i druge pravne osnove</w:t>
      </w:r>
    </w:p>
    <w:p w:rsidR="00C3023F" w:rsidRDefault="00B507DA">
      <w:r>
        <w:t>Zakonske i druge pravne osnove na temelju kojih Ured djeluje u sklopu razdjela Vlada Republike Hrvatske propisani su Zakonom o Vladi Republike Hrvatske, Uredbom o Uredu za zakonodavstvo, Zakonom o procjeni učinaka propisa, Uredbom o provedbi postupka procj</w:t>
      </w:r>
      <w:r>
        <w:t>ene učinaka propisa i Poslovnikom Vlade Republike Hrvatske.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67"/>
        <w:gridCol w:w="1552"/>
        <w:gridCol w:w="1543"/>
        <w:gridCol w:w="1558"/>
        <w:gridCol w:w="1558"/>
        <w:gridCol w:w="1558"/>
        <w:gridCol w:w="970"/>
      </w:tblGrid>
      <w:tr w:rsidR="00C3023F">
        <w:trPr>
          <w:jc w:val="center"/>
        </w:trPr>
        <w:tc>
          <w:tcPr>
            <w:tcW w:w="1530" w:type="dxa"/>
            <w:shd w:val="clear" w:color="auto" w:fill="B5C0D8"/>
          </w:tcPr>
          <w:p w:rsidR="00C3023F" w:rsidRDefault="00B507DA">
            <w:pPr>
              <w:pStyle w:val="CellHeader"/>
              <w:jc w:val="center"/>
            </w:pPr>
            <w:r>
              <w:rPr>
                <w:rFonts w:cs="Times New Roman"/>
              </w:rPr>
              <w:lastRenderedPageBreak/>
              <w:t>Naziv aktivnosti</w:t>
            </w:r>
          </w:p>
        </w:tc>
        <w:tc>
          <w:tcPr>
            <w:tcW w:w="1632" w:type="dxa"/>
            <w:shd w:val="clear" w:color="auto" w:fill="B5C0D8"/>
          </w:tcPr>
          <w:p w:rsidR="00C3023F" w:rsidRDefault="00B507DA">
            <w:pPr>
              <w:pStyle w:val="CellHeader"/>
              <w:jc w:val="center"/>
            </w:pPr>
            <w:r>
              <w:rPr>
                <w:rFonts w:cs="Times New Roman"/>
              </w:rPr>
              <w:t>Izvršenje 2022.</w:t>
            </w:r>
          </w:p>
        </w:tc>
        <w:tc>
          <w:tcPr>
            <w:tcW w:w="1632" w:type="dxa"/>
            <w:shd w:val="clear" w:color="auto" w:fill="B5C0D8"/>
          </w:tcPr>
          <w:p w:rsidR="00C3023F" w:rsidRDefault="00B507DA">
            <w:pPr>
              <w:pStyle w:val="CellHeader"/>
              <w:jc w:val="center"/>
            </w:pPr>
            <w:r>
              <w:rPr>
                <w:rFonts w:cs="Times New Roman"/>
              </w:rPr>
              <w:t>Plan 2023.</w:t>
            </w:r>
          </w:p>
        </w:tc>
        <w:tc>
          <w:tcPr>
            <w:tcW w:w="1632" w:type="dxa"/>
            <w:shd w:val="clear" w:color="auto" w:fill="B5C0D8"/>
          </w:tcPr>
          <w:p w:rsidR="00C3023F" w:rsidRDefault="00B507DA">
            <w:pPr>
              <w:pStyle w:val="CellHeader"/>
              <w:jc w:val="center"/>
            </w:pPr>
            <w:r>
              <w:rPr>
                <w:rFonts w:cs="Times New Roman"/>
              </w:rPr>
              <w:t>Plan 2024.</w:t>
            </w:r>
          </w:p>
        </w:tc>
        <w:tc>
          <w:tcPr>
            <w:tcW w:w="1632" w:type="dxa"/>
            <w:shd w:val="clear" w:color="auto" w:fill="B5C0D8"/>
          </w:tcPr>
          <w:p w:rsidR="00C3023F" w:rsidRDefault="00B507DA">
            <w:pPr>
              <w:pStyle w:val="CellHeader"/>
              <w:jc w:val="center"/>
            </w:pPr>
            <w:r>
              <w:rPr>
                <w:rFonts w:cs="Times New Roman"/>
              </w:rPr>
              <w:t>Plan 2025.</w:t>
            </w:r>
          </w:p>
        </w:tc>
        <w:tc>
          <w:tcPr>
            <w:tcW w:w="1632" w:type="dxa"/>
            <w:shd w:val="clear" w:color="auto" w:fill="B5C0D8"/>
          </w:tcPr>
          <w:p w:rsidR="00C3023F" w:rsidRDefault="00B507DA">
            <w:pPr>
              <w:pStyle w:val="CellHeader"/>
              <w:jc w:val="center"/>
            </w:pPr>
            <w:r>
              <w:rPr>
                <w:rFonts w:cs="Times New Roman"/>
              </w:rPr>
              <w:t>Plan 2026.</w:t>
            </w:r>
          </w:p>
        </w:tc>
        <w:tc>
          <w:tcPr>
            <w:tcW w:w="510" w:type="dxa"/>
            <w:shd w:val="clear" w:color="auto" w:fill="B5C0D8"/>
          </w:tcPr>
          <w:p w:rsidR="00C3023F" w:rsidRDefault="00B507DA">
            <w:pPr>
              <w:pStyle w:val="CellHeader"/>
              <w:jc w:val="center"/>
            </w:pPr>
            <w:r>
              <w:rPr>
                <w:rFonts w:cs="Times New Roman"/>
              </w:rPr>
              <w:t>Indeks 2024/2023</w:t>
            </w:r>
          </w:p>
        </w:tc>
      </w:tr>
      <w:tr w:rsidR="00C3023F">
        <w:trPr>
          <w:jc w:val="center"/>
        </w:trPr>
        <w:tc>
          <w:tcPr>
            <w:tcW w:w="1530" w:type="dxa"/>
            <w:vAlign w:val="top"/>
          </w:tcPr>
          <w:p w:rsidR="00C3023F" w:rsidRDefault="00B507DA">
            <w:pPr>
              <w:pStyle w:val="CellColumn"/>
              <w:jc w:val="left"/>
            </w:pPr>
            <w:r>
              <w:rPr>
                <w:rFonts w:cs="Times New Roman"/>
              </w:rPr>
              <w:t>A514000</w:t>
            </w:r>
          </w:p>
        </w:tc>
        <w:tc>
          <w:tcPr>
            <w:tcW w:w="1632" w:type="dxa"/>
            <w:vAlign w:val="top"/>
          </w:tcPr>
          <w:p w:rsidR="00C3023F" w:rsidRDefault="00B507DA">
            <w:pPr>
              <w:jc w:val="right"/>
            </w:pPr>
            <w:r>
              <w:t>749.645</w:t>
            </w:r>
          </w:p>
        </w:tc>
        <w:tc>
          <w:tcPr>
            <w:tcW w:w="1632" w:type="dxa"/>
            <w:vAlign w:val="top"/>
          </w:tcPr>
          <w:p w:rsidR="00C3023F" w:rsidRDefault="00B507DA">
            <w:pPr>
              <w:jc w:val="right"/>
            </w:pPr>
            <w:r>
              <w:t>936.957</w:t>
            </w:r>
          </w:p>
        </w:tc>
        <w:tc>
          <w:tcPr>
            <w:tcW w:w="1632" w:type="dxa"/>
            <w:vAlign w:val="top"/>
          </w:tcPr>
          <w:p w:rsidR="00C3023F" w:rsidRDefault="00B507DA">
            <w:pPr>
              <w:jc w:val="right"/>
            </w:pPr>
            <w:r>
              <w:t>1.075.568</w:t>
            </w:r>
          </w:p>
        </w:tc>
        <w:tc>
          <w:tcPr>
            <w:tcW w:w="1632" w:type="dxa"/>
            <w:vAlign w:val="top"/>
          </w:tcPr>
          <w:p w:rsidR="00C3023F" w:rsidRDefault="00B507DA">
            <w:pPr>
              <w:jc w:val="right"/>
            </w:pPr>
            <w:r>
              <w:t>1.154.535</w:t>
            </w:r>
          </w:p>
        </w:tc>
        <w:tc>
          <w:tcPr>
            <w:tcW w:w="1632" w:type="dxa"/>
            <w:vAlign w:val="top"/>
          </w:tcPr>
          <w:p w:rsidR="00C3023F" w:rsidRDefault="00B507DA">
            <w:pPr>
              <w:jc w:val="right"/>
            </w:pPr>
            <w:r>
              <w:t>1.167.985</w:t>
            </w:r>
          </w:p>
        </w:tc>
        <w:tc>
          <w:tcPr>
            <w:tcW w:w="510" w:type="dxa"/>
            <w:vAlign w:val="top"/>
          </w:tcPr>
          <w:p w:rsidR="00C3023F" w:rsidRDefault="00B507DA">
            <w:pPr>
              <w:jc w:val="right"/>
            </w:pPr>
            <w:r>
              <w:t>114,8</w:t>
            </w:r>
          </w:p>
        </w:tc>
      </w:tr>
    </w:tbl>
    <w:p w:rsidR="00C3023F" w:rsidRDefault="00C3023F">
      <w:pPr>
        <w:jc w:val="left"/>
      </w:pPr>
    </w:p>
    <w:p w:rsidR="00C3023F" w:rsidRDefault="00B507DA">
      <w:r>
        <w:t>U okviru aktivnosti A514000 Administracija i upravljanje planirana su sredstva na izvoru financiranja 11 Opći prihodi i primici, izvoru financiranja 12 Sredstva učešća za pomoći, izvoru financiranja 51 Pomoći EU i izvoru financiranja 561 Europski socijalni</w:t>
      </w:r>
      <w:r>
        <w:t xml:space="preserve"> fond (ESF) u ukupnom iznosu 1.075.568,00 eura za 2024. godinu, 1.154.535,00 eura za 2025. godinu te 1.167.985,00 eura za 2026. godinu. </w:t>
      </w:r>
    </w:p>
    <w:p w:rsidR="00C3023F" w:rsidRDefault="00B507DA">
      <w:r>
        <w:t xml:space="preserve"> </w:t>
      </w:r>
    </w:p>
    <w:p w:rsidR="00C3023F" w:rsidRDefault="00B507DA">
      <w:r>
        <w:t xml:space="preserve">U nastavku dajemo razradu planiranih sredstava po skupinama rashoda i izvorima financiranja kako slijedi: </w:t>
      </w:r>
    </w:p>
    <w:p w:rsidR="00C3023F" w:rsidRDefault="00B507DA">
      <w:r>
        <w:t xml:space="preserve"> </w:t>
      </w:r>
    </w:p>
    <w:p w:rsidR="00C3023F" w:rsidRDefault="00B507DA">
      <w:r>
        <w:t>Na izvor</w:t>
      </w:r>
      <w:r>
        <w:t xml:space="preserve">u financiranja 11 Opći prihodi i primici planirana su sredstva u iznosu od 1.073.933,00 eura za 2024. godinu, 1.153.207,00 eura za 2025. godinu i 1.166.657,00 eura za 2026. godinu. </w:t>
      </w:r>
    </w:p>
    <w:p w:rsidR="00C3023F" w:rsidRDefault="00B507DA">
      <w:r>
        <w:t xml:space="preserve"> </w:t>
      </w:r>
    </w:p>
    <w:p w:rsidR="00C3023F" w:rsidRDefault="00B507DA">
      <w:r>
        <w:t>U nastavku dajemo razradu planiranih sredstava po skupinama rashoda kako</w:t>
      </w:r>
      <w:r>
        <w:t xml:space="preserve"> slijedi: </w:t>
      </w:r>
    </w:p>
    <w:p w:rsidR="00C3023F" w:rsidRDefault="00B507DA">
      <w:r>
        <w:t xml:space="preserve"> </w:t>
      </w:r>
    </w:p>
    <w:p w:rsidR="00C3023F" w:rsidRDefault="00B507DA">
      <w:r>
        <w:t xml:space="preserve">31 Rashodi za zaposlene </w:t>
      </w:r>
    </w:p>
    <w:p w:rsidR="00C3023F" w:rsidRDefault="00B507DA">
      <w:r>
        <w:t xml:space="preserve">Planirana su sredstva u iznosu 986.425,00 eura za 2024. godinu, 1.073.915,00 eura za 2025. godinu te 1.084.759,00 eura za 2026. godinu. </w:t>
      </w:r>
    </w:p>
    <w:p w:rsidR="00C3023F" w:rsidRDefault="00B507DA">
      <w:r>
        <w:t xml:space="preserve"> </w:t>
      </w:r>
    </w:p>
    <w:p w:rsidR="00C3023F" w:rsidRDefault="00B507DA">
      <w:r>
        <w:t>Sredstva su planirana za plaće za redovan i prekovremeni rad te doprinose na os</w:t>
      </w:r>
      <w:r>
        <w:t>novi prava 20 djelatnika Ureda, na pozicijama na pozicijama 1 ravnateljica Ureda, 1 zamjenica ravnateljice, 7 pomoćnica/ka ravnateljice, 8 savjetnica/ka u Uredu za zakonodavstvo, 1 administrativna tajnica i 2 administrativna referenta. U 2023. devet (9) dj</w:t>
      </w:r>
      <w:r>
        <w:t xml:space="preserve">elatnika imaju dodatak na koeficijent složenosti poslova za obavljanje poslova na ispunjenju mjerila iz Nacionalnoga plana oporavka i otpornosti 2021. – 2026. (NPOO).  </w:t>
      </w:r>
    </w:p>
    <w:p w:rsidR="00C3023F" w:rsidRDefault="00B507DA">
      <w:r>
        <w:t xml:space="preserve"> </w:t>
      </w:r>
    </w:p>
    <w:p w:rsidR="00C3023F" w:rsidRDefault="00B507DA">
      <w:r>
        <w:t>Od 1. siječnja 2024. godine, planirana su sredstava za dva (2) nova djelatnika (putem</w:t>
      </w:r>
      <w:r>
        <w:t xml:space="preserve"> premještaja) na poziciji savjetnika pa su planirana ukupno 22 djelatnika u Uredu u 2024. Od 1. siječnja 2025. godine, planirana su sredstava za dva (2) nova djelatnika (putem premještaja) pa je ukupno planirano sredstava za 24. djelatnika u 2025. godini. </w:t>
      </w:r>
      <w:r>
        <w:t xml:space="preserve">Na osnovi planiranih sredstava za 2025. godinu, planirana su sredstava za 2026. godinu.  </w:t>
      </w:r>
    </w:p>
    <w:p w:rsidR="00C3023F" w:rsidRDefault="00B507DA">
      <w:r>
        <w:t xml:space="preserve"> </w:t>
      </w:r>
    </w:p>
    <w:p w:rsidR="00C3023F" w:rsidRDefault="00B507DA">
      <w:r>
        <w:t>Novi djelatnici na poziciji savjetnika tijekom 2024. i 2025. godine potrebni su zbog povećanja obima rada iz nadležnosti Ureda, u dijelu redovite nadležnosti rada Ureda te u području primjene propisa iz područja instrumenata politike boljih propisa (planir</w:t>
      </w:r>
      <w:r>
        <w:t xml:space="preserve">anje zakonodavnih aktivnosti, procjene učinaka i vrednovanja propisa te savjetovanja s javnošću). </w:t>
      </w:r>
    </w:p>
    <w:p w:rsidR="00C3023F" w:rsidRDefault="00B507DA">
      <w:r>
        <w:t xml:space="preserve">  </w:t>
      </w:r>
    </w:p>
    <w:p w:rsidR="00C3023F" w:rsidRDefault="00B507DA">
      <w:r>
        <w:t xml:space="preserve">Rezultati provedbe dva završena projekta iz 2023. godine i provedba jednog projekta u 2024. i 2025. godini, donose nove radne odgovornosti i aktivnosti u </w:t>
      </w:r>
      <w:r>
        <w:t xml:space="preserve">okviru nadležnosti Ureda jer će stupiti na snagu novi zakonodavni okvir za instrumente politike boljih propisa (planiranje zakonodavnih aktivnosti, procjena učinaka i vrednovanje propisa, savjetovanje s javnošću) početkom 2023. godine. Ured je nadležan za </w:t>
      </w:r>
      <w:r>
        <w:t xml:space="preserve">koordinaciju i provedbu instrumenata politike boljih propisa, stoga je  potrebno osigurati odgovarajuće kapacitete za njihovo obavljanje na učinkovit, kvalitetan i pravodoban način uz poštivanje svih propisanih zakonskih rokova, kao i za ispunjavanje svih </w:t>
      </w:r>
      <w:r>
        <w:t xml:space="preserve">danih zadaća iz Ureda predsjednika Vlade Republike Hrvatske. </w:t>
      </w:r>
    </w:p>
    <w:p w:rsidR="00C3023F" w:rsidRDefault="00B507DA">
      <w:r>
        <w:t xml:space="preserve"> </w:t>
      </w:r>
    </w:p>
    <w:p w:rsidR="00C3023F" w:rsidRDefault="00B507DA">
      <w:r>
        <w:t xml:space="preserve"> </w:t>
      </w:r>
    </w:p>
    <w:p w:rsidR="00C3023F" w:rsidRDefault="00B507DA">
      <w:r>
        <w:t xml:space="preserve"> </w:t>
      </w:r>
    </w:p>
    <w:p w:rsidR="00C3023F" w:rsidRDefault="00B507DA">
      <w:r>
        <w:lastRenderedPageBreak/>
        <w:t xml:space="preserve">32 Materijalni rashodi </w:t>
      </w:r>
    </w:p>
    <w:p w:rsidR="00C3023F" w:rsidRDefault="00B507DA">
      <w:r>
        <w:t xml:space="preserve">Planirana su sredstva u iznosu 72.022,00 eura za 2024. godinu, 73.960,00 eura za 2025. godinu te 76.566,00 eura za 2026. godinu. </w:t>
      </w:r>
    </w:p>
    <w:p w:rsidR="00C3023F" w:rsidRDefault="00B507DA">
      <w:r>
        <w:t xml:space="preserve">U ovoj skupini rashoda postoje nekoliko proračunskih pozicija koja s obzirom na planirana sredstva odskaču od uobičajenih fiksnih troškova. To su:  </w:t>
      </w:r>
    </w:p>
    <w:p w:rsidR="00C3023F" w:rsidRDefault="00B507DA">
      <w:r>
        <w:t>- stručna usavršavanja zaposlenika iz područja djelokruga Ureda, osobito u dijelu usavršavanja stranog jezi</w:t>
      </w:r>
      <w:r>
        <w:t>ka (planirani tečaj engleskog jezika), s obzirom na kontinuitet provedbe projektnih aktivnosti (jedan tekući projekt financiran sredstvima iz Instrumenta tehničke pomoći Europske komisije), koordinaciju aktivnosti Ureda u procesu pristupanja Republike Hrva</w:t>
      </w:r>
      <w:r>
        <w:t>tske Organizaciji za ekonomsku suradnju i razvoj (OECD), te koordinaciju aktivnosti u okviru boljih propisa na razini institucija Europske unije (mogući sastanci na razini eng. Better Regulation Network i sastanaka na razini Directors and Experts of Better</w:t>
      </w:r>
      <w:r>
        <w:t xml:space="preserve"> Regulation). </w:t>
      </w:r>
    </w:p>
    <w:p w:rsidR="00C3023F" w:rsidRDefault="00B507DA">
      <w:r>
        <w:t>Stalni uvjeti rada u hibridnom obliku (video sastanci i sastanci uživo), operativni zadaci u sklopu koordinacije aktivnosti na razini OECD-a i Europske unije te međunarodne suradnje s trećim zemljama (okvir TAIEX, twinning i ostalih instrume</w:t>
      </w:r>
      <w:r>
        <w:t>nata tehničke pomoći), zahtijevaju visoku razinu engleskog jezika pa s time u vezi potrebno je osigurati kvalitetnu pripremu državnih službenika Ureda. Drugi dio planiranih sredstava za stručno usavršavanje namijenit će se za manje tematski usmjerene tečaj</w:t>
      </w:r>
      <w:r>
        <w:t>eve i stručne radionice u dijelu znanja i vještina koji su potrebni za obavljanje poslova Ureda (područja usavršavanja u pravnim područjima, analitičke metode  dr.). Sredstva za navedeno planirana su u iznosu ---  eura za 2024. godinu, --- eura za 2025. go</w:t>
      </w:r>
      <w:r>
        <w:t xml:space="preserve">dinu i ---- eura za 2026. godinu. </w:t>
      </w:r>
    </w:p>
    <w:p w:rsidR="00C3023F" w:rsidRDefault="00B507DA">
      <w:r>
        <w:t>- službena putovanja, vezano za provedbu projekta "Strengthening the application of ex-post evaluation in Croatia" (studijsko putovanje planirano za 2024. za maksimalno pet djelatnika Ureda), kao i za ostale aktivnosti po</w:t>
      </w:r>
      <w:r>
        <w:t xml:space="preserve"> pitanju koordinacije aktivnosti na razini OECD-a i Europske unije. Sredstva za navedeno planirana su u iznosu --- eura za 2024. godinu, --- eura za 2025. godinu i --- eura za 2026. godinu. </w:t>
      </w:r>
    </w:p>
    <w:p w:rsidR="00C3023F" w:rsidRDefault="00B507DA">
      <w:r>
        <w:t>- intelektualne usluge u 2024. godini planirane su u skladu s oče</w:t>
      </w:r>
      <w:r>
        <w:t xml:space="preserve">kivanom dizajnom i izradom brošure o Uredu, a 2025. u skladu s potrebom prijevoda dokumenata iz projekta </w:t>
      </w:r>
    </w:p>
    <w:p w:rsidR="00C3023F" w:rsidRDefault="00B507DA">
      <w:r>
        <w:t>- sredstava reprezentacije u 2024. i 2025. godini zbog očekivanih potreba za organizacijom manjih događanja tijekom trajanja projekta "Strengthening t</w:t>
      </w:r>
      <w:r>
        <w:t>he application of ex-post evaluation in Croatia" (organizacija sastanka, primjerice sjednica upravljačkog odbora, fokus grupa i sl.) planirana su u iznosu ---- eura za 2024. i 2025. godinu. Tijekom 2026. godine ti će se troškovi minimalizirati, s obzirom n</w:t>
      </w:r>
      <w:r>
        <w:t xml:space="preserve">a očekivani završetak projekta.  </w:t>
      </w:r>
    </w:p>
    <w:p w:rsidR="00C3023F" w:rsidRDefault="00B507DA">
      <w:r>
        <w:t xml:space="preserve"> </w:t>
      </w:r>
    </w:p>
    <w:p w:rsidR="00C3023F" w:rsidRDefault="00B507DA">
      <w:r>
        <w:t>Preostala planirana sredstva u ovoj skupini rashoda odnose se na redovita prava državnih službenika temeljem prava iz kolektivnog ugovora državnih službenika (naknada za prijevoz na posao i s posla, sistematski pregledi,</w:t>
      </w:r>
      <w:r>
        <w:t xml:space="preserve"> izrada iskaznica za djelatnike, provjere diploma), kao i za redovito održavanje rada Ureda, a koji u velikom dijelu pokrivaju tekući materijal poput nabavke tonera za printere, print papira, uredskog materijala, e-pretplata, telekomunikacijske usluge, rač</w:t>
      </w:r>
      <w:r>
        <w:t xml:space="preserve">unalne usluge, tisak posjetnica i iskaznica, internu reprezentaciju, čišćenje uredskog prostora i ostalo.  </w:t>
      </w:r>
    </w:p>
    <w:p w:rsidR="00C3023F" w:rsidRDefault="00B507DA">
      <w:r>
        <w:t xml:space="preserve"> </w:t>
      </w:r>
    </w:p>
    <w:p w:rsidR="00C3023F" w:rsidRDefault="00B507DA">
      <w:r>
        <w:t xml:space="preserve">34 Financijski rashodi </w:t>
      </w:r>
    </w:p>
    <w:p w:rsidR="00C3023F" w:rsidRDefault="00B507DA">
      <w:r>
        <w:t xml:space="preserve">Planirana su sredstva u iznosu 22,00 eura za svaku godinu planiranja u skladu s tekućim obvezama. </w:t>
      </w:r>
    </w:p>
    <w:p w:rsidR="00C3023F" w:rsidRDefault="00B507DA">
      <w:r>
        <w:t xml:space="preserve"> </w:t>
      </w:r>
    </w:p>
    <w:p w:rsidR="00C3023F" w:rsidRDefault="00B507DA">
      <w:r>
        <w:t xml:space="preserve">42 Rashodi za nabavu </w:t>
      </w:r>
      <w:r>
        <w:t xml:space="preserve">proizvedene dugotrajne imovine </w:t>
      </w:r>
    </w:p>
    <w:p w:rsidR="00C3023F" w:rsidRDefault="00B507DA">
      <w:r>
        <w:t xml:space="preserve">Planirana su sredstva u iznosu 15.464,00 eura za 2024. godinu, 5.310,00 eura za 2025. godinu te 5.310,00 eura za 2026. godinu. </w:t>
      </w:r>
    </w:p>
    <w:p w:rsidR="00C3023F" w:rsidRDefault="00B507DA">
      <w:r>
        <w:t xml:space="preserve"> </w:t>
      </w:r>
    </w:p>
    <w:p w:rsidR="00C3023F" w:rsidRDefault="00B507DA">
      <w:r>
        <w:t>Sredstva su planirana za redovitu zamjenu dotrajale uredske opreme, namještaja i komunikacijsk</w:t>
      </w:r>
      <w:r>
        <w:t xml:space="preserve">e opreme  te nabave uredske opreme (stol, stolica, ormar) za nove djelatnike u skladu s planiranim povećanjem broja djelatnika Ureda. </w:t>
      </w:r>
    </w:p>
    <w:p w:rsidR="00C3023F" w:rsidRDefault="00B507DA">
      <w:r>
        <w:t xml:space="preserve"> </w:t>
      </w:r>
    </w:p>
    <w:p w:rsidR="00C3023F" w:rsidRDefault="00B507DA">
      <w:r>
        <w:t>Na izvoru financiranja 51 Pomoći EU i skupini rashoda 32 Materijalni rashodi planirana su sredstva u iznosu 1.328,00 eu</w:t>
      </w:r>
      <w:r>
        <w:t>ra za svaku godinu planiranja. Sredstva su planirana u sklopu poslova Ureda koji se obavljaju na razini EU u smislu sudjelovanja na određenim sastancima u sklopu institucija EU, a financiraju se iz sredstava proračuna EU po zahtjevu za refundacijom sredsta</w:t>
      </w:r>
      <w:r>
        <w:t xml:space="preserve">va. </w:t>
      </w:r>
    </w:p>
    <w:p w:rsidR="00C3023F" w:rsidRDefault="00B507DA">
      <w:r>
        <w:lastRenderedPageBreak/>
        <w:t xml:space="preserve"> </w:t>
      </w:r>
    </w:p>
    <w:p w:rsidR="00C3023F" w:rsidRDefault="00B507DA">
      <w:r>
        <w:t xml:space="preserve">Na izvoru financiranja 12 Sredstva učešća za pomoći i skupini rashoda 31 Rashodi za zaposlene planirana su sredstva u iznosu 54,00 eura za 2024. godinu. </w:t>
      </w:r>
    </w:p>
    <w:p w:rsidR="00C3023F" w:rsidRDefault="00B507DA">
      <w:r>
        <w:t xml:space="preserve"> </w:t>
      </w:r>
    </w:p>
    <w:p w:rsidR="00C3023F" w:rsidRDefault="00B507DA">
      <w:r>
        <w:t xml:space="preserve">Na izvoru financiranja 561 Sredstva učešća za pomoći i skupini rashoda 31 Rashodi za zaposlene planirana su sredstva u iznosu 253,00 eura za 2024. godinu. </w:t>
      </w:r>
    </w:p>
    <w:p w:rsidR="00C3023F" w:rsidRDefault="00B507DA">
      <w:r>
        <w:t xml:space="preserve"> </w:t>
      </w:r>
    </w:p>
    <w:p w:rsidR="00C3023F" w:rsidRDefault="00B507DA">
      <w:r>
        <w:t>Sredstva na oba izvora financiranja planirana su u vezi projekta „e-Savjetovanja – proširenja, nad</w:t>
      </w:r>
      <w:r>
        <w:t>ogradnje i unapređenje zakonodavnih procesa savjetovanja s javnošću“, a odnose se na isplatu plaće za mjesec prosinac 2023. godine djelatnici Ureda koja je članica projektnog tima za provedbu projekta koji se provodi sa Središnjim državnim uredom za razvoj</w:t>
      </w:r>
      <w:r>
        <w:t xml:space="preserve"> digitalnog društva.</w:t>
      </w:r>
    </w:p>
    <w:p w:rsidR="00C3023F" w:rsidRDefault="00B507DA">
      <w:pPr>
        <w:pStyle w:val="Heading4"/>
      </w:pPr>
      <w:r>
        <w:t>K514012 INFORMATIZACIJA UREDA ZA ZAKONODAVSTVO</w:t>
      </w:r>
    </w:p>
    <w:p w:rsidR="00C3023F" w:rsidRDefault="00B507DA">
      <w:pPr>
        <w:pStyle w:val="Heading8"/>
        <w:jc w:val="left"/>
      </w:pPr>
      <w:r>
        <w:t>Zakonske i druge pravne osnove</w:t>
      </w:r>
    </w:p>
    <w:p w:rsidR="00C3023F" w:rsidRDefault="00B507DA">
      <w:r>
        <w:t xml:space="preserve">Uredba o Uredu za zakonodavstvo,  </w:t>
      </w:r>
    </w:p>
    <w:p w:rsidR="00C3023F" w:rsidRDefault="00B507DA">
      <w:r>
        <w:t xml:space="preserve">Zakon o procjeni učinaka propisa,  </w:t>
      </w:r>
    </w:p>
    <w:p w:rsidR="00C3023F" w:rsidRDefault="00B507DA">
      <w:r>
        <w:t>Uredba o provedbi postupka procjene učinaka propisa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75"/>
        <w:gridCol w:w="1565"/>
        <w:gridCol w:w="1549"/>
        <w:gridCol w:w="1549"/>
        <w:gridCol w:w="1549"/>
        <w:gridCol w:w="1549"/>
        <w:gridCol w:w="970"/>
      </w:tblGrid>
      <w:tr w:rsidR="00C3023F">
        <w:trPr>
          <w:jc w:val="center"/>
        </w:trPr>
        <w:tc>
          <w:tcPr>
            <w:tcW w:w="1530" w:type="dxa"/>
            <w:shd w:val="clear" w:color="auto" w:fill="B5C0D8"/>
          </w:tcPr>
          <w:p w:rsidR="00C3023F" w:rsidRDefault="00B507DA">
            <w:pPr>
              <w:pStyle w:val="CellHeader"/>
              <w:jc w:val="cent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1632" w:type="dxa"/>
            <w:shd w:val="clear" w:color="auto" w:fill="B5C0D8"/>
          </w:tcPr>
          <w:p w:rsidR="00C3023F" w:rsidRDefault="00B507DA">
            <w:pPr>
              <w:pStyle w:val="CellHeader"/>
              <w:jc w:val="center"/>
            </w:pPr>
            <w:r>
              <w:rPr>
                <w:rFonts w:cs="Times New Roman"/>
              </w:rPr>
              <w:t>Izvršenje 2022.</w:t>
            </w:r>
          </w:p>
        </w:tc>
        <w:tc>
          <w:tcPr>
            <w:tcW w:w="1632" w:type="dxa"/>
            <w:shd w:val="clear" w:color="auto" w:fill="B5C0D8"/>
          </w:tcPr>
          <w:p w:rsidR="00C3023F" w:rsidRDefault="00B507DA">
            <w:pPr>
              <w:pStyle w:val="CellHeader"/>
              <w:jc w:val="center"/>
            </w:pPr>
            <w:r>
              <w:rPr>
                <w:rFonts w:cs="Times New Roman"/>
              </w:rPr>
              <w:t>P</w:t>
            </w:r>
            <w:r>
              <w:rPr>
                <w:rFonts w:cs="Times New Roman"/>
              </w:rPr>
              <w:t>lan 2023.</w:t>
            </w:r>
          </w:p>
        </w:tc>
        <w:tc>
          <w:tcPr>
            <w:tcW w:w="1632" w:type="dxa"/>
            <w:shd w:val="clear" w:color="auto" w:fill="B5C0D8"/>
          </w:tcPr>
          <w:p w:rsidR="00C3023F" w:rsidRDefault="00B507DA">
            <w:pPr>
              <w:pStyle w:val="CellHeader"/>
              <w:jc w:val="center"/>
            </w:pPr>
            <w:r>
              <w:rPr>
                <w:rFonts w:cs="Times New Roman"/>
              </w:rPr>
              <w:t>Plan 2024.</w:t>
            </w:r>
          </w:p>
        </w:tc>
        <w:tc>
          <w:tcPr>
            <w:tcW w:w="1632" w:type="dxa"/>
            <w:shd w:val="clear" w:color="auto" w:fill="B5C0D8"/>
          </w:tcPr>
          <w:p w:rsidR="00C3023F" w:rsidRDefault="00B507DA">
            <w:pPr>
              <w:pStyle w:val="CellHeader"/>
              <w:jc w:val="center"/>
            </w:pPr>
            <w:r>
              <w:rPr>
                <w:rFonts w:cs="Times New Roman"/>
              </w:rPr>
              <w:t>Plan 2025.</w:t>
            </w:r>
          </w:p>
        </w:tc>
        <w:tc>
          <w:tcPr>
            <w:tcW w:w="1632" w:type="dxa"/>
            <w:shd w:val="clear" w:color="auto" w:fill="B5C0D8"/>
          </w:tcPr>
          <w:p w:rsidR="00C3023F" w:rsidRDefault="00B507DA">
            <w:pPr>
              <w:pStyle w:val="CellHeader"/>
              <w:jc w:val="center"/>
            </w:pPr>
            <w:r>
              <w:rPr>
                <w:rFonts w:cs="Times New Roman"/>
              </w:rPr>
              <w:t>Plan 2026.</w:t>
            </w:r>
          </w:p>
        </w:tc>
        <w:tc>
          <w:tcPr>
            <w:tcW w:w="510" w:type="dxa"/>
            <w:shd w:val="clear" w:color="auto" w:fill="B5C0D8"/>
          </w:tcPr>
          <w:p w:rsidR="00C3023F" w:rsidRDefault="00B507DA">
            <w:pPr>
              <w:pStyle w:val="CellHeader"/>
              <w:jc w:val="center"/>
            </w:pPr>
            <w:r>
              <w:rPr>
                <w:rFonts w:cs="Times New Roman"/>
              </w:rPr>
              <w:t>Indeks 2024/2023</w:t>
            </w:r>
          </w:p>
        </w:tc>
      </w:tr>
      <w:tr w:rsidR="00C3023F">
        <w:trPr>
          <w:jc w:val="center"/>
        </w:trPr>
        <w:tc>
          <w:tcPr>
            <w:tcW w:w="1530" w:type="dxa"/>
            <w:vAlign w:val="top"/>
          </w:tcPr>
          <w:p w:rsidR="00C3023F" w:rsidRDefault="00B507DA">
            <w:pPr>
              <w:pStyle w:val="CellColumn"/>
              <w:jc w:val="left"/>
            </w:pPr>
            <w:r>
              <w:rPr>
                <w:rFonts w:cs="Times New Roman"/>
              </w:rPr>
              <w:t>K514012</w:t>
            </w:r>
          </w:p>
        </w:tc>
        <w:tc>
          <w:tcPr>
            <w:tcW w:w="1632" w:type="dxa"/>
            <w:vAlign w:val="top"/>
          </w:tcPr>
          <w:p w:rsidR="00C3023F" w:rsidRDefault="00B507DA">
            <w:pPr>
              <w:jc w:val="right"/>
            </w:pPr>
            <w:r>
              <w:t>11.096</w:t>
            </w:r>
          </w:p>
        </w:tc>
        <w:tc>
          <w:tcPr>
            <w:tcW w:w="1632" w:type="dxa"/>
            <w:vAlign w:val="top"/>
          </w:tcPr>
          <w:p w:rsidR="00C3023F" w:rsidRDefault="00B507DA">
            <w:pPr>
              <w:jc w:val="right"/>
            </w:pPr>
            <w:r>
              <w:t>19.179</w:t>
            </w:r>
          </w:p>
        </w:tc>
        <w:tc>
          <w:tcPr>
            <w:tcW w:w="1632" w:type="dxa"/>
            <w:vAlign w:val="top"/>
          </w:tcPr>
          <w:p w:rsidR="00C3023F" w:rsidRDefault="00B507DA">
            <w:pPr>
              <w:jc w:val="right"/>
            </w:pPr>
            <w:r>
              <w:t>22.099</w:t>
            </w:r>
          </w:p>
        </w:tc>
        <w:tc>
          <w:tcPr>
            <w:tcW w:w="1632" w:type="dxa"/>
            <w:vAlign w:val="top"/>
          </w:tcPr>
          <w:p w:rsidR="00C3023F" w:rsidRDefault="00B507DA">
            <w:pPr>
              <w:jc w:val="right"/>
            </w:pPr>
            <w:r>
              <w:t>24.090</w:t>
            </w:r>
          </w:p>
        </w:tc>
        <w:tc>
          <w:tcPr>
            <w:tcW w:w="1632" w:type="dxa"/>
            <w:vAlign w:val="top"/>
          </w:tcPr>
          <w:p w:rsidR="00C3023F" w:rsidRDefault="00B507DA">
            <w:pPr>
              <w:jc w:val="right"/>
            </w:pPr>
            <w:r>
              <w:t>13.738</w:t>
            </w:r>
          </w:p>
        </w:tc>
        <w:tc>
          <w:tcPr>
            <w:tcW w:w="510" w:type="dxa"/>
            <w:vAlign w:val="top"/>
          </w:tcPr>
          <w:p w:rsidR="00C3023F" w:rsidRDefault="00B507DA">
            <w:pPr>
              <w:jc w:val="right"/>
            </w:pPr>
            <w:r>
              <w:t>115,2</w:t>
            </w:r>
          </w:p>
        </w:tc>
      </w:tr>
    </w:tbl>
    <w:p w:rsidR="00C3023F" w:rsidRDefault="00C3023F">
      <w:pPr>
        <w:jc w:val="left"/>
      </w:pPr>
    </w:p>
    <w:p w:rsidR="00C3023F" w:rsidRDefault="00B507DA">
      <w:r>
        <w:t xml:space="preserve">U okviru kapitalnog projekta K514012 Informatizacija Ureda za zakonodavstvo planirana su sredstva u iznosu 22.099,00 eura za 2024. godinu, 24.090,00 eura za 2025. godinu te 13.738,00eura za 2026. godinu. </w:t>
      </w:r>
    </w:p>
    <w:p w:rsidR="00C3023F" w:rsidRDefault="00B507DA">
      <w:r>
        <w:t xml:space="preserve"> </w:t>
      </w:r>
    </w:p>
    <w:p w:rsidR="00C3023F" w:rsidRDefault="00B507DA">
      <w:r>
        <w:t>U nastavku dajemo razradu planiranih sredstava po</w:t>
      </w:r>
      <w:r>
        <w:t xml:space="preserve"> skupinama rashoda kako slijedi: </w:t>
      </w:r>
    </w:p>
    <w:p w:rsidR="00C3023F" w:rsidRDefault="00B507DA">
      <w:r>
        <w:t xml:space="preserve"> </w:t>
      </w:r>
    </w:p>
    <w:p w:rsidR="00C3023F" w:rsidRDefault="00B507DA">
      <w:r>
        <w:t xml:space="preserve">32 Materijalni rashodi </w:t>
      </w:r>
    </w:p>
    <w:p w:rsidR="00C3023F" w:rsidRDefault="00B507DA">
      <w:r>
        <w:t xml:space="preserve">Planirana su sredstva u iznosu 2.190,00 eura za 2024. godinu, 4.181,00 eura za 2025. godinu te 4.181,00 eura za 2026. godinu. </w:t>
      </w:r>
    </w:p>
    <w:p w:rsidR="00C3023F" w:rsidRDefault="00B507DA">
      <w:r>
        <w:t xml:space="preserve"> </w:t>
      </w:r>
    </w:p>
    <w:p w:rsidR="00C3023F" w:rsidRDefault="00B507DA">
      <w:r>
        <w:t>Sredstva su planirana za odgovarajuće licence (Microsoft softver licence za PC računala i laptope, poput MS Office aplikacija i dvije licence za MS Teams), radi osiguranja ispravne informatičke opreme u hardverskom dijelu i pripadajućih licenci u softversk</w:t>
      </w:r>
      <w:r>
        <w:t xml:space="preserve">om dijelu. </w:t>
      </w:r>
    </w:p>
    <w:p w:rsidR="00C3023F" w:rsidRDefault="00B507DA">
      <w:r>
        <w:t xml:space="preserve"> </w:t>
      </w:r>
    </w:p>
    <w:p w:rsidR="00C3023F" w:rsidRDefault="00B507DA">
      <w:r>
        <w:t xml:space="preserve"> </w:t>
      </w:r>
    </w:p>
    <w:p w:rsidR="00C3023F" w:rsidRDefault="00B507DA">
      <w:r>
        <w:t xml:space="preserve">42 Rashodi za nabavu proizvedene dugotrajne imovine </w:t>
      </w:r>
    </w:p>
    <w:p w:rsidR="00C3023F" w:rsidRDefault="00B507DA">
      <w:r>
        <w:t xml:space="preserve">Planirana su sredstva u iznosu 19.909,00 eura za 2024. godinu, 19.909,00 eura za 2025. godinu te 9.557,00 eura za 2026. godinu. </w:t>
      </w:r>
    </w:p>
    <w:p w:rsidR="00C3023F" w:rsidRDefault="00B507DA">
      <w:r>
        <w:t xml:space="preserve"> </w:t>
      </w:r>
    </w:p>
    <w:p w:rsidR="00C3023F" w:rsidRDefault="00B507DA">
      <w:r>
        <w:t>Sredstva su planirana za redovite zamjene postojećih PC računala i prijenosnih računala tijekom 2024., 2025. i 2026. godine, odnosno nabavke 5 PC računala, 5 prijenosnih računala (laptopa) i 5 monitora u 2024. i 2025. godini te 6 prijenosnih računala (lapt</w:t>
      </w:r>
      <w:r>
        <w:t>opa) u 2026. godini, zbog povećanja broj djelatnika te dotrajalosti postojeće informatičke opreme i/ili zamjene uslijed kvara ili oštećenja.</w:t>
      </w:r>
    </w:p>
    <w:sectPr w:rsidR="00C3023F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7DA" w:rsidRDefault="00B507DA" w:rsidP="00F352E6">
      <w:r>
        <w:separator/>
      </w:r>
    </w:p>
  </w:endnote>
  <w:endnote w:type="continuationSeparator" w:id="0">
    <w:p w:rsidR="00B507DA" w:rsidRDefault="00B507DA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Pr="00D769ED" w:rsidRDefault="00B507DA" w:rsidP="007D4430">
    <w:pPr>
      <w:pStyle w:val="Footer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7DA" w:rsidRDefault="00B507DA" w:rsidP="00F352E6">
      <w:r>
        <w:separator/>
      </w:r>
    </w:p>
  </w:footnote>
  <w:footnote w:type="continuationSeparator" w:id="0">
    <w:p w:rsidR="00B507DA" w:rsidRDefault="00B507DA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Default="00B507DA" w:rsidP="00A70582">
    <w:pPr>
      <w:pStyle w:val="Header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311AA1"/>
    <w:rsid w:val="00382225"/>
    <w:rsid w:val="00386953"/>
    <w:rsid w:val="004552C2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3683"/>
    <w:rsid w:val="00674346"/>
    <w:rsid w:val="006B3283"/>
    <w:rsid w:val="007665AA"/>
    <w:rsid w:val="007A7E45"/>
    <w:rsid w:val="007D1C46"/>
    <w:rsid w:val="007D395B"/>
    <w:rsid w:val="007D4430"/>
    <w:rsid w:val="00847495"/>
    <w:rsid w:val="008636E2"/>
    <w:rsid w:val="008A7E2A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507DA"/>
    <w:rsid w:val="00BA487B"/>
    <w:rsid w:val="00BA7BD1"/>
    <w:rsid w:val="00BB642B"/>
    <w:rsid w:val="00BF02E9"/>
    <w:rsid w:val="00BF3F24"/>
    <w:rsid w:val="00C3023F"/>
    <w:rsid w:val="00C7470A"/>
    <w:rsid w:val="00DE2416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1">
    <w:name w:val="heading 1"/>
    <w:basedOn w:val="Normal"/>
    <w:next w:val="Normal"/>
    <w:link w:val="Heading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Heading8">
    <w:name w:val="heading 8"/>
    <w:basedOn w:val="Normal6"/>
    <w:next w:val="Normal"/>
    <w:link w:val="Heading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Heading2Char">
    <w:name w:val="Heading 2 Char"/>
    <w:basedOn w:val="DefaultParagraphFont"/>
    <w:link w:val="Heading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5Char">
    <w:name w:val="Heading 5 Char"/>
    <w:basedOn w:val="DefaultParagraphFont"/>
    <w:link w:val="Heading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Footer">
    <w:name w:val="footer"/>
    <w:basedOn w:val="Normal"/>
    <w:link w:val="Footer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PageNumber">
    <w:name w:val="page number"/>
    <w:basedOn w:val="DefaultParagraphFont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DefaultParagraphFont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DefaultParagraphFont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DefaultParagraphFont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Emphasis">
    <w:name w:val="Emphasis"/>
    <w:basedOn w:val="DefaultParagraphFont"/>
    <w:qFormat/>
    <w:rsid w:val="00480C76"/>
    <w:rPr>
      <w:b/>
      <w:bCs/>
      <w:i w:val="0"/>
      <w:iCs w:val="0"/>
    </w:rPr>
  </w:style>
  <w:style w:type="character" w:styleId="Strong">
    <w:name w:val="Strong"/>
    <w:basedOn w:val="DefaultParagraphFont"/>
    <w:qFormat/>
    <w:rsid w:val="00480C76"/>
    <w:rPr>
      <w:b/>
      <w:bCs/>
    </w:rPr>
  </w:style>
  <w:style w:type="character" w:styleId="Hyperlink">
    <w:name w:val="Hyperlink"/>
    <w:basedOn w:val="DefaultParagraphFont"/>
    <w:rsid w:val="00480C76"/>
    <w:rPr>
      <w:color w:val="0000FF"/>
      <w:u w:val="single"/>
    </w:rPr>
  </w:style>
  <w:style w:type="table" w:styleId="TableGrid">
    <w:name w:val="Table Grid"/>
    <w:basedOn w:val="TableNormal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DefaultParagraphFont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Heading8Char">
    <w:name w:val="Heading 8 Char"/>
    <w:basedOn w:val="DefaultParagraphFont"/>
    <w:link w:val="Heading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TableNormal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TableNormal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01AEE-479F-4FAA-8C50-5557DBEC7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1821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Internet Proracun</cp:lastModifiedBy>
  <cp:revision>2</cp:revision>
  <dcterms:created xsi:type="dcterms:W3CDTF">2023-11-15T14:41:00Z</dcterms:created>
  <dcterms:modified xsi:type="dcterms:W3CDTF">2023-11-15T14:41:00Z</dcterms:modified>
</cp:coreProperties>
</file>