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0F1E95" w:rsidRDefault="00A81F79">
      <w:pPr>
        <w:pStyle w:val="Heading2"/>
      </w:pPr>
      <w:r>
        <w:t>02030 Ured za zakonodavstvo</w:t>
      </w:r>
    </w:p>
    <w:p w:rsidR="000F1E95" w:rsidRDefault="00A81F79">
      <w:pPr>
        <w:pStyle w:val="Normal3"/>
      </w:pPr>
      <w:r>
        <w:t>Poslovi Ureda obuhvaćaju cjelokupni postupak donošenja odluka Vlade, od samog zakonodavnog planiranja, koraka procjene učinaka propisa, savjetovanja s javnošću, poslovničke procedure, vrednovanja propisa te pripreme i pravodobne objave zakona i drugih prop</w:t>
      </w:r>
      <w:r>
        <w:t xml:space="preserve">isa u Narodnim novinama za sva tijela državne uprave sukladno zakonu kojim se uređuje ustrojstvo i djelokrug ministarstava i drugih tijela državne uprave. </w:t>
      </w:r>
    </w:p>
    <w:p w:rsidR="000F1E95" w:rsidRDefault="00A81F79">
      <w:pPr>
        <w:pStyle w:val="Normal3"/>
      </w:pPr>
      <w:r>
        <w:t xml:space="preserve">   </w:t>
      </w:r>
    </w:p>
    <w:p w:rsidR="000F1E95" w:rsidRDefault="00A81F79">
      <w:pPr>
        <w:pStyle w:val="Normal3"/>
      </w:pPr>
      <w:r>
        <w:t>Sukladno nadležnosti Ureda, poslovi se odvijaju redovito svake godine, a tako se planira i u nad</w:t>
      </w:r>
      <w:r>
        <w:t>olazećem razdoblju od 2025. do 2027. godine. Uz redovite poslove, Ured je spreman na sve ostale (neplanirane) poslove i posebne zadaće sukladno zaduženjima Vlade Republike Hrvatske i Ureda predsjednika Vlade Republike Hrvatske, što je Ured do sada kvalitet</w:t>
      </w:r>
      <w:r>
        <w:t xml:space="preserve">no i pravodobno izvršavao.   </w:t>
      </w:r>
    </w:p>
    <w:p w:rsidR="000F1E95" w:rsidRDefault="00A81F79">
      <w:pPr>
        <w:pStyle w:val="Normal3"/>
      </w:pPr>
      <w:r>
        <w:t xml:space="preserve"> </w:t>
      </w:r>
    </w:p>
    <w:p w:rsidR="000F1E95" w:rsidRDefault="00A81F79">
      <w:pPr>
        <w:pStyle w:val="Normal3"/>
      </w:pPr>
      <w:r>
        <w:t>Tijekom 2025. godine, obavljat će se poslovi na provedbi projekta "Strengthening the application of ex-post evaluation in Croatia", koji završava u kolovozu 2025. godine, financiranog sredstvima Europske komisije (iz eng. Te</w:t>
      </w:r>
      <w:r>
        <w:t>chnical Support Instrument-a) i njemačkog saveznog ministarstva za gospodarstvo i zaštitu klime.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4"/>
        <w:gridCol w:w="1540"/>
        <w:gridCol w:w="1548"/>
        <w:gridCol w:w="1548"/>
        <w:gridCol w:w="1548"/>
        <w:gridCol w:w="1548"/>
        <w:gridCol w:w="970"/>
      </w:tblGrid>
      <w:tr w:rsidR="000F1E95">
        <w:trPr>
          <w:jc w:val="center"/>
        </w:trPr>
        <w:tc>
          <w:tcPr>
            <w:tcW w:w="1530" w:type="dxa"/>
            <w:shd w:val="clear" w:color="auto" w:fill="B5C0D8"/>
          </w:tcPr>
          <w:p w:rsidR="000F1E95" w:rsidRDefault="000F1E95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0F1E95">
        <w:trPr>
          <w:jc w:val="center"/>
        </w:trPr>
        <w:tc>
          <w:tcPr>
            <w:tcW w:w="153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02030-Ured za zakonodavstvo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885.944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1.135.760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1.328.477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1.362.169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1.369.462</w:t>
            </w:r>
          </w:p>
        </w:tc>
        <w:tc>
          <w:tcPr>
            <w:tcW w:w="51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117,0</w:t>
            </w:r>
          </w:p>
        </w:tc>
      </w:tr>
    </w:tbl>
    <w:p w:rsidR="000F1E95" w:rsidRDefault="000F1E95">
      <w:pPr>
        <w:jc w:val="left"/>
      </w:pPr>
    </w:p>
    <w:p w:rsidR="000F1E95" w:rsidRDefault="00A81F79">
      <w:pPr>
        <w:pStyle w:val="Heading3"/>
      </w:pPr>
      <w:r>
        <w:rPr>
          <w:rFonts w:cs="Times New Roman"/>
        </w:rPr>
        <w:t>2404 USKLAĐIVANJE PRAVNIH AKATA S PRAVNIM PORETKOM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26"/>
        <w:gridCol w:w="1514"/>
        <w:gridCol w:w="1524"/>
        <w:gridCol w:w="1524"/>
        <w:gridCol w:w="1524"/>
        <w:gridCol w:w="1524"/>
        <w:gridCol w:w="970"/>
      </w:tblGrid>
      <w:tr w:rsidR="000F1E95">
        <w:trPr>
          <w:jc w:val="center"/>
        </w:trPr>
        <w:tc>
          <w:tcPr>
            <w:tcW w:w="1530" w:type="dxa"/>
            <w:shd w:val="clear" w:color="auto" w:fill="B5C0D8"/>
          </w:tcPr>
          <w:p w:rsidR="000F1E95" w:rsidRDefault="000F1E95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0F1E95">
        <w:trPr>
          <w:jc w:val="center"/>
        </w:trPr>
        <w:tc>
          <w:tcPr>
            <w:tcW w:w="153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2404-USKLAĐIVANJE PRAVNIH AKATA S PRAVNIM PORETKOM REPUBLIKE HRVATSKE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885.944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1.135.760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1.328.477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1.362.169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1.369.462</w:t>
            </w:r>
          </w:p>
        </w:tc>
        <w:tc>
          <w:tcPr>
            <w:tcW w:w="51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117,0</w:t>
            </w:r>
          </w:p>
        </w:tc>
      </w:tr>
    </w:tbl>
    <w:p w:rsidR="000F1E95" w:rsidRDefault="000F1E95">
      <w:pPr>
        <w:jc w:val="left"/>
      </w:pPr>
    </w:p>
    <w:p w:rsidR="000F1E95" w:rsidRDefault="00A81F79">
      <w:pPr>
        <w:pStyle w:val="Heading7"/>
      </w:pPr>
      <w:r>
        <w:t>Cilj 1. Poboljšanje kvalitete i procesa donošenja akata Vlade Republike Hrvatske</w:t>
      </w:r>
    </w:p>
    <w:p w:rsidR="000F1E95" w:rsidRDefault="00A81F79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193"/>
        <w:gridCol w:w="2194"/>
        <w:gridCol w:w="911"/>
        <w:gridCol w:w="918"/>
        <w:gridCol w:w="1236"/>
        <w:gridCol w:w="918"/>
        <w:gridCol w:w="918"/>
        <w:gridCol w:w="918"/>
      </w:tblGrid>
      <w:tr w:rsidR="000F1E95">
        <w:trPr>
          <w:jc w:val="center"/>
        </w:trPr>
        <w:tc>
          <w:tcPr>
            <w:tcW w:w="2245" w:type="dxa"/>
            <w:shd w:val="clear" w:color="auto" w:fill="B5C0D8"/>
          </w:tcPr>
          <w:p w:rsidR="000F1E95" w:rsidRDefault="00A81F79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0F1E95">
        <w:trPr>
          <w:jc w:val="center"/>
        </w:trPr>
        <w:tc>
          <w:tcPr>
            <w:tcW w:w="2245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lastRenderedPageBreak/>
              <w:t>Postotak izvršenja Plana zakonodavnih aktivnosti Vlade Republike Hrvatske na godišnjoj razini</w:t>
            </w:r>
          </w:p>
        </w:tc>
        <w:tc>
          <w:tcPr>
            <w:tcW w:w="2245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Plan zakonodavnih aktivnosti je akt Vlade Republike Hrvatske kojim se planiraju zakonski prijedlozi u tekućoj godini. Uspješnost provedbe ovoga plana utvrđuje se postotkom provedbe u odnosu na početno stanje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44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Izvješće o provedbi Plana zakonodavnih akti</w:t>
            </w:r>
            <w:r>
              <w:rPr>
                <w:rFonts w:cs="Times New Roman"/>
              </w:rPr>
              <w:t>vnosti Vlade Republike Hrvatske za 2023. godinu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48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51</w:t>
            </w:r>
          </w:p>
        </w:tc>
        <w:tc>
          <w:tcPr>
            <w:tcW w:w="918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53</w:t>
            </w:r>
          </w:p>
        </w:tc>
      </w:tr>
    </w:tbl>
    <w:p w:rsidR="000F1E95" w:rsidRDefault="000F1E95">
      <w:pPr>
        <w:jc w:val="left"/>
      </w:pPr>
    </w:p>
    <w:p w:rsidR="000F1E95" w:rsidRDefault="00A81F79">
      <w:pPr>
        <w:pStyle w:val="Heading4"/>
      </w:pPr>
      <w:r>
        <w:t>A514000 ADMINISTRACIJA I UPRAVLJANJE</w:t>
      </w:r>
    </w:p>
    <w:p w:rsidR="000F1E95" w:rsidRDefault="00A81F79">
      <w:pPr>
        <w:pStyle w:val="Heading8"/>
        <w:jc w:val="left"/>
      </w:pPr>
      <w:r>
        <w:t>Zakonske i druge pravne osnove</w:t>
      </w:r>
    </w:p>
    <w:p w:rsidR="000F1E95" w:rsidRDefault="00A81F79">
      <w:pPr>
        <w:pStyle w:val="Normal5"/>
      </w:pPr>
      <w:r>
        <w:t>Zakonske i druge pravne osnove na temelju kojih Ured djeluje u sklopu razdjela Vlada Republike Hrvatske propisani su Zakonom o Vladi Republike Hrvatske, Uredbom o Uredu za zakonodavstvo, Zakonom o instrumentima politike boljih propisa, Uredbom o metodologi</w:t>
      </w:r>
      <w:r>
        <w:t>ji i postupku provedbe instrumenata politike boljih propisa i Poslovnikom Vlade Republike Hrvatske.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479"/>
        <w:gridCol w:w="1491"/>
        <w:gridCol w:w="1491"/>
        <w:gridCol w:w="1491"/>
        <w:gridCol w:w="1491"/>
        <w:gridCol w:w="970"/>
      </w:tblGrid>
      <w:tr w:rsidR="000F1E95">
        <w:trPr>
          <w:jc w:val="center"/>
        </w:trPr>
        <w:tc>
          <w:tcPr>
            <w:tcW w:w="153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0F1E95">
        <w:trPr>
          <w:jc w:val="center"/>
        </w:trPr>
        <w:tc>
          <w:tcPr>
            <w:tcW w:w="153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A514000-ADMINISTRACIJA I UPRAVL</w:t>
            </w:r>
            <w:r>
              <w:rPr>
                <w:rFonts w:cs="Times New Roman"/>
              </w:rPr>
              <w:t>JANJE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872.281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1.118.661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1.280.277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1.324.919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1.332.162</w:t>
            </w:r>
          </w:p>
        </w:tc>
        <w:tc>
          <w:tcPr>
            <w:tcW w:w="51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114,4</w:t>
            </w:r>
          </w:p>
        </w:tc>
      </w:tr>
    </w:tbl>
    <w:p w:rsidR="000F1E95" w:rsidRDefault="000F1E95">
      <w:pPr>
        <w:jc w:val="left"/>
      </w:pPr>
    </w:p>
    <w:p w:rsidR="000F1E95" w:rsidRDefault="00A81F79">
      <w:r>
        <w:t>U okviru aktivnosti A514000 Administracija i upravljanje planirana su sredstva na izvoru financiranja 11 Opći prihodi i primici te izvoru financiranja 51 Pomoći EU u ukupnom iznosu 1.280.277,00 eura za 2025. godinu, 1.324.919,00 eura za 2026. godinu te 1.3</w:t>
      </w:r>
      <w:r>
        <w:t xml:space="preserve">32.162,00 eura za 2027. godinu.  </w:t>
      </w:r>
    </w:p>
    <w:p w:rsidR="000F1E95" w:rsidRDefault="00A81F79">
      <w:r>
        <w:t xml:space="preserve">U nastavku dajemo razradu planiranih sredstava po skupinama rashoda i izvorima financiranja kako slijedi:  </w:t>
      </w:r>
    </w:p>
    <w:p w:rsidR="000F1E95" w:rsidRDefault="00A81F79">
      <w:r>
        <w:t xml:space="preserve">  </w:t>
      </w:r>
    </w:p>
    <w:p w:rsidR="000F1E95" w:rsidRDefault="00A81F79">
      <w:r>
        <w:t>Na izvoru financiranja 11 Opći prihodi i primici planirana su sredstva u iznosu od 1.278.777,00 eura za 2025. g</w:t>
      </w:r>
      <w:r>
        <w:t xml:space="preserve">odinu, 1.323.419,00 eura za 2026. godinu i 1.330.662,00 eura za 2027. godinu.  </w:t>
      </w:r>
    </w:p>
    <w:p w:rsidR="000F1E95" w:rsidRDefault="00A81F79">
      <w:r>
        <w:t xml:space="preserve">  </w:t>
      </w:r>
    </w:p>
    <w:p w:rsidR="000F1E95" w:rsidRDefault="00A81F79">
      <w:r>
        <w:t xml:space="preserve">U nastavku dajemo razradu planiranih sredstava po skupinama rashoda kako slijedi:  </w:t>
      </w:r>
    </w:p>
    <w:p w:rsidR="000F1E95" w:rsidRDefault="00A81F79">
      <w:r>
        <w:t xml:space="preserve">  </w:t>
      </w:r>
    </w:p>
    <w:p w:rsidR="000F1E95" w:rsidRDefault="00A81F79">
      <w:r>
        <w:t xml:space="preserve">31 Rashodi za zaposlene  </w:t>
      </w:r>
    </w:p>
    <w:p w:rsidR="000F1E95" w:rsidRDefault="00A81F79">
      <w:r>
        <w:t>Planirana su sredstva u iznosu 1.139.831 eura za 2025. godin</w:t>
      </w:r>
      <w:r>
        <w:t xml:space="preserve">u, 1.218.845,00 eura za 2026. godinu te 1.224.308,00 eura za 2027. godinu.  </w:t>
      </w:r>
    </w:p>
    <w:p w:rsidR="000F1E95" w:rsidRDefault="00A81F79">
      <w:r>
        <w:t xml:space="preserve">  </w:t>
      </w:r>
    </w:p>
    <w:p w:rsidR="000F1E95" w:rsidRDefault="00A81F79">
      <w:r>
        <w:t xml:space="preserve">Sredstva su planirana za plaće za redovan i prekovremeni rad te doprinose na osnovi prava 19 djelatnika Ureda, na pozicijama: 1 ravnateljica Ureda, 1 zamjenica ravnateljice, 7 </w:t>
      </w:r>
      <w:r>
        <w:t xml:space="preserve">pomoćnica/ka ravnateljice, 7 savjetnica/ka u Uredu za zakonodavstvo, 1 administrativna tajnica i 2 administrativna referenta.  </w:t>
      </w:r>
    </w:p>
    <w:p w:rsidR="000F1E95" w:rsidRDefault="00A81F79">
      <w:r>
        <w:t xml:space="preserve"> </w:t>
      </w:r>
    </w:p>
    <w:p w:rsidR="000F1E95" w:rsidRDefault="00A81F79">
      <w:r>
        <w:t>Od 1. prosinca 2024. godine planirano je zapošljavanje 1 djelatnika na poziciji savjetnika. U 2025. godini planiramo zapošljav</w:t>
      </w:r>
      <w:r>
        <w:t>anje dva djelatnika na poziciji savjetnika (putem premještaja), jednog od 1. siječnja 2025. godine, a drugog 1. lipnja 2025. Stoga su u 2025. godini planirana ukupno 22 djelatnika u Uredu. Na osnovi planiranih sredstava za 2025. godinu, planirana su sredst</w:t>
      </w:r>
      <w:r>
        <w:t xml:space="preserve">ava za 2026. i 2027. godinu. Od 1. siječnja 2025. planirano je povećanje broja zamjenika u Uredu za zakonodavstvo s 1 na 2 izvršitelja u skladu s planiranim novim unutarnjim ustrojem Ureda.  </w:t>
      </w:r>
    </w:p>
    <w:p w:rsidR="000F1E95" w:rsidRDefault="00A81F79">
      <w:r>
        <w:t xml:space="preserve">  </w:t>
      </w:r>
    </w:p>
    <w:p w:rsidR="000F1E95" w:rsidRDefault="00A81F79">
      <w:r>
        <w:lastRenderedPageBreak/>
        <w:t>Novi djelatnici na poziciji savjetnika tijekom 2025. godine p</w:t>
      </w:r>
      <w:r>
        <w:t xml:space="preserve">otrebni su zbog povećanja obima rada iz nadležnosti Ureda, u dijelu redovite nadležnosti rada Ureda te u području primjene propisa iz područja instrumenata politike boljih propisa (planiranje zakonodavnih aktivnosti, procjene učinaka i vrednovanja propisa </w:t>
      </w:r>
      <w:r>
        <w:t xml:space="preserve">te savjetovanja s javnošću).  </w:t>
      </w:r>
    </w:p>
    <w:p w:rsidR="000F1E95" w:rsidRDefault="00A81F79">
      <w:r>
        <w:t xml:space="preserve"> </w:t>
      </w:r>
    </w:p>
    <w:p w:rsidR="000F1E95" w:rsidRDefault="00A81F79">
      <w:r>
        <w:t>Zakonom o instrumentima politike boljih propisa dodatno se jačaju standardi u postupku savjetovanja s javnošću te se propisuje stručni nadzor savjetovanja s javnošću u postupku pripreme i izrade nacrta prijedloga zakona i d</w:t>
      </w:r>
      <w:r>
        <w:t xml:space="preserve">rugih propisa. Također, unaprjeđenjem središnjeg državnog internetskog portala za savjetovanja s javnošću (e-Savjetovanja), sustav e-Savjetovanja prilagođen je za korištenje tijelima jedinica lokalne i područne (regionalne) samouprave. </w:t>
      </w:r>
    </w:p>
    <w:p w:rsidR="000F1E95" w:rsidRDefault="00A81F79">
      <w:r>
        <w:t xml:space="preserve"> </w:t>
      </w:r>
    </w:p>
    <w:p w:rsidR="000F1E95" w:rsidRDefault="00A81F79">
      <w:r>
        <w:t>Slijedom navedeno</w:t>
      </w:r>
      <w:r>
        <w:t>g, a s obzirom na djelokrug i složenost poslova Jedinice za koordinaciju sustava savjetovanja s javnošću i objavu propisa u „Narodnim novinama“ – službenom listu Republike Hrvatske u pogledu poslova stručnog nadzora savjetovanja s javnošću u postupku pripr</w:t>
      </w:r>
      <w:r>
        <w:t xml:space="preserve">eme i izrade nacrta prijedloga zakona i drugih propisa te korisničke podrške koju Ured za zakonodavstvo pruža svim korisnicima portala e-Savjetovanja, potrebno je zapošljavanje 1 državnog službenika tehničke struke. Zakonom o instrumentima politike boljih </w:t>
      </w:r>
      <w:r>
        <w:t xml:space="preserve">propisa, u naš zakonodavni okvir uveden je novi institut vrednovanja propisa za zakone na snazi, u potpunosti usklađen sa standardima EU i OECD-a.  </w:t>
      </w:r>
    </w:p>
    <w:p w:rsidR="000F1E95" w:rsidRDefault="00A81F79">
      <w:r>
        <w:t xml:space="preserve"> </w:t>
      </w:r>
    </w:p>
    <w:p w:rsidR="000F1E95" w:rsidRDefault="00A81F79">
      <w:r>
        <w:t>Slijedom navedenog, a s obzirom na djelokrug i složenost poslova Jedinice za koordinaciju sustava procjen</w:t>
      </w:r>
      <w:r>
        <w:t xml:space="preserve">e učinaka propisa vezano uz koordinaciju postupka vrednovanja propisa, potrebno je zapošljavanje 1 državnog službenika društvene struke.   </w:t>
      </w:r>
    </w:p>
    <w:p w:rsidR="000F1E95" w:rsidRDefault="00A81F79">
      <w:r>
        <w:t xml:space="preserve"> </w:t>
      </w:r>
    </w:p>
    <w:p w:rsidR="000F1E95" w:rsidRDefault="00A81F79">
      <w:r>
        <w:t>Ured je u listopadu 2024. podnio novi projektni prijedlog za financiranje instrumenta tehničke pomoći Europske komisije vezano za uvođenje modela umjetne inteligencije u postupak izrade i donošenja propisa, za što je potrebno osigurati odgovarajuće kapacit</w:t>
      </w:r>
      <w:r>
        <w:t xml:space="preserve">ete Ureda. </w:t>
      </w:r>
    </w:p>
    <w:p w:rsidR="000F1E95" w:rsidRDefault="00A81F79">
      <w:r>
        <w:t xml:space="preserve">  </w:t>
      </w:r>
    </w:p>
    <w:p w:rsidR="000F1E95" w:rsidRDefault="00A81F79">
      <w:r>
        <w:t xml:space="preserve">32 Materijalni rashodi  </w:t>
      </w:r>
    </w:p>
    <w:p w:rsidR="000F1E95" w:rsidRDefault="00A81F79">
      <w:r>
        <w:t xml:space="preserve">Planirana su sredstva u iznosu 125.943,00 eura za 2025. godinu, 98.571,00 eura za 2026. godinu te 100.351,00 eura za 2027. godinu.  </w:t>
      </w:r>
    </w:p>
    <w:p w:rsidR="000F1E95" w:rsidRDefault="00A81F79">
      <w:r>
        <w:t xml:space="preserve"> </w:t>
      </w:r>
    </w:p>
    <w:p w:rsidR="000F1E95" w:rsidRDefault="00A81F79">
      <w:r>
        <w:t>U ovoj skupini rashoda postoje nekoliko proračunskih pozicija koja s obzirom na p</w:t>
      </w:r>
      <w:r>
        <w:t xml:space="preserve">lanirana sredstva odskaču od uobičajenih fiksnih troškova. To su:   </w:t>
      </w:r>
    </w:p>
    <w:p w:rsidR="000F1E95" w:rsidRDefault="00A81F79">
      <w:r>
        <w:t>- stručna usavršavanja zaposlenika iz područja djelokruga Ureda planirana su za tematski usmjerene tečajeve i stručne radionice za kontinuiranu edukaciju u dijelu znanja i vještina koji s</w:t>
      </w:r>
      <w:r>
        <w:t xml:space="preserve">u potrebni za obavljanje poslova Ureda (područja usavršavanja u pravnim područjima, analitičke metode  dr.). Sredstva za navedeno planirana su u iznosu 20.000,00 eura za 2025. godinu i po 11.800,00 eura za 2026. i 2027. godinu  </w:t>
      </w:r>
    </w:p>
    <w:p w:rsidR="000F1E95" w:rsidRDefault="00A81F79">
      <w:r>
        <w:t>- službena putovanja, vezan</w:t>
      </w:r>
      <w:r>
        <w:t>o za provedbu projekta "Strengthening the application of ex-post evaluation in Croatia" (studijsko putovanje planirano za 2025. za maksimalno pet djelatnika Ureda), kao i za ostale aktivnosti po pitanju koordinacije aktivnosti na razini OECD-a i Europske u</w:t>
      </w:r>
      <w:r>
        <w:t xml:space="preserve">nije. Sredstva za navedeno planirana su u iznosu 49.130,00 eura za 2025. godinu i po 46.880,00 eura za 2026. i 2027. godinu </w:t>
      </w:r>
    </w:p>
    <w:p w:rsidR="000F1E95" w:rsidRDefault="00A81F79">
      <w:r>
        <w:t>- intelektualne usluge u 2025. godini planirane su u skladu s očekivanim dizajnom i izradom kratkog vodiča o Uredu za što su planir</w:t>
      </w:r>
      <w:r>
        <w:t xml:space="preserve">ana sredstva u iznosu 5.000,00 eura  </w:t>
      </w:r>
    </w:p>
    <w:p w:rsidR="000F1E95" w:rsidRDefault="00A81F79">
      <w:r>
        <w:t>- sredstava reprezentacije u 2025. godini zbog očekivanih potreba za organizacijom manjih događanja tijekom trajanja projekta "Strengthening the application of ex-post evaluation in Croatia" (organizacija sastanka, pri</w:t>
      </w:r>
      <w:r>
        <w:t xml:space="preserve">mjerice sjednica upravljačkog odbora, fokus grupa i sl.) planirana su u iznosu 3.500,00 eura za 2025. godinu.  </w:t>
      </w:r>
    </w:p>
    <w:p w:rsidR="000F1E95" w:rsidRDefault="00A81F79">
      <w:r>
        <w:t xml:space="preserve">  </w:t>
      </w:r>
    </w:p>
    <w:p w:rsidR="000F1E95" w:rsidRDefault="00A81F79">
      <w:r>
        <w:t>Preostala planirana sredstva u ovoj skupini rashoda odnose se na redovita prava državnih službenika temeljem prava iz kolektivnog ugovora drž</w:t>
      </w:r>
      <w:r>
        <w:t>avnih službenika (naknada za prijevoz na posao i s posla, sistematski pregledi, izrada iskaznica za djelatnike, provjere diploma), kao i za redovito održavanje rada Ureda, a koji u velikom dijelu pokrivaju tekući materijal poput nabavke tonera za printere,</w:t>
      </w:r>
      <w:r>
        <w:t xml:space="preserve"> print papira, uredskog materijala, e-pretplata, telekomunikacijske usluge, računalne usluge, tisak posjetnica, internu reprezentaciju, čišćenje uredskog prostora i ostalo.   </w:t>
      </w:r>
    </w:p>
    <w:p w:rsidR="000F1E95" w:rsidRDefault="00A81F79">
      <w:r>
        <w:t xml:space="preserve">  </w:t>
      </w:r>
    </w:p>
    <w:p w:rsidR="000F1E95" w:rsidRDefault="00A81F79">
      <w:r>
        <w:t xml:space="preserve">34 Financijski rashodi  </w:t>
      </w:r>
    </w:p>
    <w:p w:rsidR="000F1E95" w:rsidRDefault="00A81F79">
      <w:r>
        <w:t>Planirana su sredstva u iznosu 3,00 eura za svaku go</w:t>
      </w:r>
      <w:r>
        <w:t xml:space="preserve">dinu planiranja u skladu s tekućim obvezama.  </w:t>
      </w:r>
    </w:p>
    <w:p w:rsidR="000F1E95" w:rsidRDefault="00A81F79">
      <w:r>
        <w:t xml:space="preserve">  </w:t>
      </w:r>
    </w:p>
    <w:p w:rsidR="000F1E95" w:rsidRDefault="00A81F79">
      <w:r>
        <w:t xml:space="preserve">42 Rashodi za nabavu proizvedene dugotrajne imovine  </w:t>
      </w:r>
    </w:p>
    <w:p w:rsidR="000F1E95" w:rsidRDefault="00A81F79">
      <w:r>
        <w:t xml:space="preserve">Planirana su sredstva u iznosu 13.000,00 eura za 2025. godinu, 6.000,00 eura za 2026. godinu te 6.000,00 eura za 2027. godinu. Sredstva su planirana za </w:t>
      </w:r>
      <w:r>
        <w:t xml:space="preserve">redovitu zamjenu dotrajale uredske opreme, namještaja i komunikacijske opreme te nabave uredske opreme (stol, stolica, ormar) za nove djelatnike u skladu s planiranim povećanjem broja djelatnika Ureda.  </w:t>
      </w:r>
    </w:p>
    <w:p w:rsidR="000F1E95" w:rsidRDefault="00A81F79">
      <w:r>
        <w:t xml:space="preserve">  </w:t>
      </w:r>
    </w:p>
    <w:p w:rsidR="000F1E95" w:rsidRDefault="00A81F79">
      <w:r>
        <w:t>Na izvoru financiranja 51 Pomoći EU i skupini ras</w:t>
      </w:r>
      <w:r>
        <w:t>hoda 32 Materijalni rashodi planirana su sredstva u iznosu 1.500,00 eura za svaku godinu planiranja. Sredstva su planirana u sklopu poslova Ureda koji se obavljaju na razini EU u smislu sudjelovanja na određenim sastancima u sklopu institucija EU, a financ</w:t>
      </w:r>
      <w:r>
        <w:t>iraju se iz sredstava proračuna EU po zahtjevu za refundacijom sredstava.</w:t>
      </w:r>
    </w:p>
    <w:p w:rsidR="000F1E95" w:rsidRDefault="00A81F79">
      <w:pPr>
        <w:pStyle w:val="Heading4"/>
      </w:pPr>
      <w:r>
        <w:t>K514012 INFORMATIZACIJA UREDA ZA ZAKONODAVSTVO</w:t>
      </w:r>
    </w:p>
    <w:p w:rsidR="000F1E95" w:rsidRDefault="00A81F79">
      <w:pPr>
        <w:pStyle w:val="Heading8"/>
        <w:jc w:val="left"/>
      </w:pPr>
      <w:r>
        <w:t>Zakonske i druge pravne osnove</w:t>
      </w:r>
    </w:p>
    <w:p w:rsidR="000F1E95" w:rsidRDefault="00A81F79">
      <w:pPr>
        <w:pStyle w:val="Normal5"/>
      </w:pPr>
      <w:r>
        <w:t xml:space="preserve">Uredba o Uredu za zakonodavstvo,   </w:t>
      </w:r>
    </w:p>
    <w:p w:rsidR="000F1E95" w:rsidRDefault="00A81F79">
      <w:pPr>
        <w:pStyle w:val="Normal5"/>
      </w:pPr>
      <w:r>
        <w:t xml:space="preserve">Zakon o instrumentima politike boljih propisa,   </w:t>
      </w:r>
    </w:p>
    <w:p w:rsidR="000F1E95" w:rsidRDefault="00A81F79">
      <w:pPr>
        <w:pStyle w:val="Normal5"/>
      </w:pPr>
      <w:r>
        <w:t>Uredba o metodolog</w:t>
      </w:r>
      <w:r>
        <w:t>iji i postupku provedbe instrumenata politike boljih propisa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490"/>
        <w:gridCol w:w="1458"/>
        <w:gridCol w:w="1458"/>
        <w:gridCol w:w="1458"/>
        <w:gridCol w:w="1458"/>
        <w:gridCol w:w="970"/>
      </w:tblGrid>
      <w:tr w:rsidR="000F1E95">
        <w:trPr>
          <w:jc w:val="center"/>
        </w:trPr>
        <w:tc>
          <w:tcPr>
            <w:tcW w:w="153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0F1E95" w:rsidRDefault="00A81F79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0F1E95">
        <w:trPr>
          <w:jc w:val="center"/>
        </w:trPr>
        <w:tc>
          <w:tcPr>
            <w:tcW w:w="153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K514012-INFORMATIZACIJA UREDA ZA ZAKONODAVSTVO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13.663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17.099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48.200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37.250</w:t>
            </w:r>
          </w:p>
        </w:tc>
        <w:tc>
          <w:tcPr>
            <w:tcW w:w="1632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37.300</w:t>
            </w:r>
          </w:p>
        </w:tc>
        <w:tc>
          <w:tcPr>
            <w:tcW w:w="510" w:type="dxa"/>
          </w:tcPr>
          <w:p w:rsidR="000F1E95" w:rsidRDefault="00A81F79">
            <w:pPr>
              <w:pStyle w:val="CellColumn"/>
            </w:pPr>
            <w:r>
              <w:rPr>
                <w:rFonts w:cs="Times New Roman"/>
              </w:rPr>
              <w:t>281,9</w:t>
            </w:r>
          </w:p>
        </w:tc>
      </w:tr>
    </w:tbl>
    <w:p w:rsidR="000F1E95" w:rsidRDefault="000F1E95">
      <w:pPr>
        <w:jc w:val="left"/>
      </w:pPr>
    </w:p>
    <w:p w:rsidR="000F1E95" w:rsidRDefault="00A81F79">
      <w:r>
        <w:t xml:space="preserve">U okviru kapitalnog projekta K514012 Informatizacija Ureda za zakonodavstvo planirana su sredstva u iznosu 48.200,00 eura za 2025. godinu, 37.250,00 eura za 2026. godinu te 37.300,00 eura za 2027. godinu.  </w:t>
      </w:r>
    </w:p>
    <w:p w:rsidR="000F1E95" w:rsidRDefault="00A81F79">
      <w:r>
        <w:t xml:space="preserve">  </w:t>
      </w:r>
    </w:p>
    <w:p w:rsidR="000F1E95" w:rsidRDefault="00A81F79">
      <w:r>
        <w:t xml:space="preserve">U nastavku dajemo razradu planiranih sredstava po skupinama rashoda kako slijedi:  </w:t>
      </w:r>
    </w:p>
    <w:p w:rsidR="000F1E95" w:rsidRDefault="00A81F79">
      <w:r>
        <w:t xml:space="preserve">  </w:t>
      </w:r>
    </w:p>
    <w:p w:rsidR="000F1E95" w:rsidRDefault="00A81F79">
      <w:r>
        <w:t xml:space="preserve">32 Materijalni rashodi  </w:t>
      </w:r>
    </w:p>
    <w:p w:rsidR="000F1E95" w:rsidRDefault="00A81F79">
      <w:r>
        <w:t>Planirana su sredstva u iznosu 23.200,00 eura za 2025. godinu, 23.250,00 eura za 2026. godinu te 23.300,00 eura za 2027. godinu. Sredstva su pla</w:t>
      </w:r>
      <w:r>
        <w:t xml:space="preserve">nirana za odgovarajuće licence (Microsoft softver licence za PC računala i laptope, poput MS Office aplikacija i dvije licence za MS Teams), radi osiguranja ispravne informatičke opreme u hardverskom dijelu i pripadajućih licenci u softverskom dijelu.  </w:t>
      </w:r>
    </w:p>
    <w:p w:rsidR="000F1E95" w:rsidRDefault="00A81F79">
      <w:r>
        <w:t xml:space="preserve">  </w:t>
      </w:r>
    </w:p>
    <w:p w:rsidR="000F1E95" w:rsidRDefault="00A81F79">
      <w:r>
        <w:t xml:space="preserve">42 Rashodi za nabavu proizvedene dugotrajne imovine  </w:t>
      </w:r>
    </w:p>
    <w:p w:rsidR="000F1E95" w:rsidRDefault="00A81F79">
      <w:r>
        <w:t>Planirana su sredstva u iznosu 25.000,00 eura za 2025. godinu, 14.000,00 eura za 2026. godinu te 14.000,00 eura za 2027. godinu. Sredstva su planirana za redovite zamjene postojećih PC računala i prije</w:t>
      </w:r>
      <w:r>
        <w:t xml:space="preserve">nosnih računala tijekom 2025., 2026. i 2027. godine, odnosno nabavke 7 PC računala i 13 prijenosnih računala (laptopa) u 2025. i 2026. godini te 2 PC računala i 4 prijenosna računala (laptopa) u 2027. godini, zbog povećanja broj djelatnika te dotrajalosti </w:t>
      </w:r>
      <w:r>
        <w:t>postojeće informatičke opreme i/ili zamjene uslijed kvara ili oštećenja.</w:t>
      </w:r>
    </w:p>
    <w:sectPr w:rsidR="000F1E95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A81F79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A81F79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0F1E95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81F79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0F5E-339E-4B2E-AD46-6FA24DEA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2</cp:revision>
  <dcterms:created xsi:type="dcterms:W3CDTF">2024-12-20T09:29:00Z</dcterms:created>
  <dcterms:modified xsi:type="dcterms:W3CDTF">2024-12-20T09:29:00Z</dcterms:modified>
</cp:coreProperties>
</file>