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289" w:type="dxa"/>
        <w:tblLayout w:type="fixed"/>
        <w:tblLook w:val="04A0" w:firstRow="1" w:lastRow="0" w:firstColumn="1" w:lastColumn="0" w:noHBand="0" w:noVBand="1"/>
      </w:tblPr>
      <w:tblGrid>
        <w:gridCol w:w="851"/>
        <w:gridCol w:w="2698"/>
        <w:gridCol w:w="988"/>
        <w:gridCol w:w="5386"/>
      </w:tblGrid>
      <w:tr w:rsidR="00055680" w:rsidRPr="0097347E" w:rsidTr="007C137B">
        <w:tc>
          <w:tcPr>
            <w:tcW w:w="9923" w:type="dxa"/>
            <w:gridSpan w:val="4"/>
            <w:shd w:val="clear" w:color="auto" w:fill="auto"/>
          </w:tcPr>
          <w:p w:rsidR="00055680" w:rsidRPr="0097347E" w:rsidRDefault="00055680" w:rsidP="00EF4A24">
            <w:pPr>
              <w:jc w:val="center"/>
              <w:rPr>
                <w:b/>
              </w:rPr>
            </w:pPr>
            <w:r w:rsidRPr="0097347E">
              <w:rPr>
                <w:b/>
              </w:rPr>
              <w:t>PRILOG 4.</w:t>
            </w:r>
          </w:p>
          <w:p w:rsidR="00055680" w:rsidRPr="0097347E" w:rsidRDefault="00055680" w:rsidP="00EF4A24">
            <w:pPr>
              <w:jc w:val="center"/>
              <w:rPr>
                <w:b/>
              </w:rPr>
            </w:pPr>
            <w:r w:rsidRPr="0097347E">
              <w:rPr>
                <w:b/>
              </w:rPr>
              <w:t>OBRAZAC ISKAZA O PROCJENI UČINAKA PROPISA</w:t>
            </w:r>
          </w:p>
        </w:tc>
      </w:tr>
      <w:tr w:rsidR="00055680" w:rsidRPr="0097347E" w:rsidTr="007C137B">
        <w:tc>
          <w:tcPr>
            <w:tcW w:w="851" w:type="dxa"/>
          </w:tcPr>
          <w:p w:rsidR="00055680" w:rsidRPr="0097347E" w:rsidRDefault="00055680" w:rsidP="00EF4A24">
            <w:pPr>
              <w:rPr>
                <w:b/>
              </w:rPr>
            </w:pPr>
            <w:r w:rsidRPr="0097347E">
              <w:rPr>
                <w:b/>
              </w:rPr>
              <w:t>1.</w:t>
            </w:r>
          </w:p>
        </w:tc>
        <w:tc>
          <w:tcPr>
            <w:tcW w:w="9072" w:type="dxa"/>
            <w:gridSpan w:val="3"/>
          </w:tcPr>
          <w:p w:rsidR="00055680" w:rsidRPr="0097347E" w:rsidRDefault="00055680" w:rsidP="00EF4A24">
            <w:pPr>
              <w:rPr>
                <w:b/>
              </w:rPr>
            </w:pPr>
            <w:r w:rsidRPr="0097347E">
              <w:rPr>
                <w:b/>
              </w:rPr>
              <w:t>OPĆE INFORMACIJE</w:t>
            </w:r>
          </w:p>
        </w:tc>
      </w:tr>
      <w:tr w:rsidR="00055680" w:rsidRPr="0097347E" w:rsidTr="00EF4A24">
        <w:tc>
          <w:tcPr>
            <w:tcW w:w="851" w:type="dxa"/>
          </w:tcPr>
          <w:p w:rsidR="00055680" w:rsidRPr="0097347E" w:rsidRDefault="00055680" w:rsidP="00EF4A24">
            <w:r w:rsidRPr="0097347E">
              <w:t>1.1.</w:t>
            </w:r>
          </w:p>
        </w:tc>
        <w:tc>
          <w:tcPr>
            <w:tcW w:w="2698" w:type="dxa"/>
          </w:tcPr>
          <w:p w:rsidR="00055680" w:rsidRPr="0097347E" w:rsidRDefault="00055680" w:rsidP="00EF4A24">
            <w:r w:rsidRPr="0097347E">
              <w:t>Naziv nacrta prijedloga zakona:</w:t>
            </w:r>
          </w:p>
        </w:tc>
        <w:tc>
          <w:tcPr>
            <w:tcW w:w="6374" w:type="dxa"/>
            <w:gridSpan w:val="2"/>
            <w:shd w:val="clear" w:color="auto" w:fill="auto"/>
          </w:tcPr>
          <w:p w:rsidR="00055680" w:rsidRPr="0097347E" w:rsidRDefault="00055680" w:rsidP="00EF4A24"/>
        </w:tc>
      </w:tr>
      <w:tr w:rsidR="00055680" w:rsidRPr="0097347E" w:rsidTr="00EF4A24">
        <w:tc>
          <w:tcPr>
            <w:tcW w:w="851" w:type="dxa"/>
          </w:tcPr>
          <w:p w:rsidR="00055680" w:rsidRPr="0097347E" w:rsidRDefault="00055680" w:rsidP="00EF4A24">
            <w:r w:rsidRPr="0097347E">
              <w:t>1.2.</w:t>
            </w:r>
          </w:p>
        </w:tc>
        <w:tc>
          <w:tcPr>
            <w:tcW w:w="2698" w:type="dxa"/>
          </w:tcPr>
          <w:p w:rsidR="00055680" w:rsidRPr="0097347E" w:rsidRDefault="00055680" w:rsidP="00EF4A24">
            <w:r w:rsidRPr="0097347E">
              <w:t>Program rada Vlade Republike Hrvatske, akt planiranja ili reformska mjera:</w:t>
            </w:r>
          </w:p>
        </w:tc>
        <w:tc>
          <w:tcPr>
            <w:tcW w:w="988" w:type="dxa"/>
            <w:shd w:val="clear" w:color="auto" w:fill="auto"/>
          </w:tcPr>
          <w:p w:rsidR="00055680" w:rsidRPr="0097347E" w:rsidRDefault="00055680" w:rsidP="00EF4A24">
            <w:r w:rsidRPr="0097347E">
              <w:t>Da/Ne:</w:t>
            </w:r>
          </w:p>
          <w:p w:rsidR="00055680" w:rsidRPr="0097347E" w:rsidRDefault="00055680" w:rsidP="00EF4A24"/>
        </w:tc>
        <w:tc>
          <w:tcPr>
            <w:tcW w:w="5386" w:type="dxa"/>
            <w:shd w:val="clear" w:color="auto" w:fill="auto"/>
          </w:tcPr>
          <w:p w:rsidR="00055680" w:rsidRPr="0097347E" w:rsidRDefault="00055680" w:rsidP="00EF4A24">
            <w:r w:rsidRPr="0097347E">
              <w:t>Naziv akta:</w:t>
            </w:r>
          </w:p>
          <w:p w:rsidR="00055680" w:rsidRPr="0097347E" w:rsidRDefault="00055680" w:rsidP="00EF4A24"/>
          <w:p w:rsidR="00055680" w:rsidRPr="0097347E" w:rsidRDefault="00055680" w:rsidP="00EF4A24">
            <w:r w:rsidRPr="0097347E">
              <w:t>Opis mjere:</w:t>
            </w:r>
          </w:p>
        </w:tc>
      </w:tr>
      <w:tr w:rsidR="00055680" w:rsidRPr="0097347E" w:rsidTr="00EF4A24">
        <w:tc>
          <w:tcPr>
            <w:tcW w:w="851" w:type="dxa"/>
          </w:tcPr>
          <w:p w:rsidR="00055680" w:rsidRPr="0097347E" w:rsidRDefault="00055680" w:rsidP="00EF4A24">
            <w:r w:rsidRPr="0097347E">
              <w:t>1.3.</w:t>
            </w:r>
          </w:p>
        </w:tc>
        <w:tc>
          <w:tcPr>
            <w:tcW w:w="2698" w:type="dxa"/>
          </w:tcPr>
          <w:p w:rsidR="00055680" w:rsidRPr="0097347E" w:rsidRDefault="00055680" w:rsidP="00EF4A24">
            <w:r w:rsidRPr="0097347E">
              <w:t>Plan usklađivanja zakonodavstva Republike Hrvatske s pravnom stečevinom Europske unije</w:t>
            </w:r>
          </w:p>
        </w:tc>
        <w:tc>
          <w:tcPr>
            <w:tcW w:w="988" w:type="dxa"/>
            <w:shd w:val="clear" w:color="auto" w:fill="auto"/>
          </w:tcPr>
          <w:p w:rsidR="00055680" w:rsidRPr="0097347E" w:rsidRDefault="00055680" w:rsidP="00EF4A24">
            <w:r w:rsidRPr="0097347E">
              <w:t>Da/Ne:</w:t>
            </w:r>
          </w:p>
          <w:p w:rsidR="00055680" w:rsidRPr="0097347E" w:rsidRDefault="00055680" w:rsidP="00EF4A24"/>
        </w:tc>
        <w:tc>
          <w:tcPr>
            <w:tcW w:w="5386" w:type="dxa"/>
            <w:shd w:val="clear" w:color="auto" w:fill="auto"/>
          </w:tcPr>
          <w:p w:rsidR="00055680" w:rsidRPr="0097347E" w:rsidRDefault="00055680" w:rsidP="00EF4A24">
            <w:r w:rsidRPr="0097347E">
              <w:t>Naziv pravne stečevine EU:</w:t>
            </w:r>
          </w:p>
        </w:tc>
      </w:tr>
      <w:tr w:rsidR="00055680" w:rsidRPr="0097347E" w:rsidTr="007C137B">
        <w:trPr>
          <w:trHeight w:val="314"/>
        </w:trPr>
        <w:tc>
          <w:tcPr>
            <w:tcW w:w="851" w:type="dxa"/>
          </w:tcPr>
          <w:p w:rsidR="00055680" w:rsidRPr="0097347E" w:rsidRDefault="00055680" w:rsidP="00EF4A24">
            <w:pPr>
              <w:rPr>
                <w:b/>
              </w:rPr>
            </w:pPr>
            <w:r w:rsidRPr="0097347E">
              <w:rPr>
                <w:b/>
              </w:rPr>
              <w:t>2.</w:t>
            </w:r>
          </w:p>
        </w:tc>
        <w:tc>
          <w:tcPr>
            <w:tcW w:w="9072" w:type="dxa"/>
            <w:gridSpan w:val="3"/>
            <w:shd w:val="clear" w:color="auto" w:fill="auto"/>
          </w:tcPr>
          <w:p w:rsidR="00055680" w:rsidRPr="0097347E" w:rsidRDefault="00055680" w:rsidP="00EF4A24">
            <w:pPr>
              <w:rPr>
                <w:b/>
              </w:rPr>
            </w:pPr>
            <w:r w:rsidRPr="0097347E">
              <w:rPr>
                <w:b/>
              </w:rPr>
              <w:t>ANALIZA ISHODA NACRTA PRIJEDLOGA ZAKONA</w:t>
            </w:r>
          </w:p>
        </w:tc>
      </w:tr>
      <w:tr w:rsidR="00055680" w:rsidRPr="0097347E" w:rsidTr="00EF4A24">
        <w:tc>
          <w:tcPr>
            <w:tcW w:w="851" w:type="dxa"/>
          </w:tcPr>
          <w:p w:rsidR="00055680" w:rsidRPr="0097347E" w:rsidRDefault="00055680" w:rsidP="00EF4A24">
            <w:r w:rsidRPr="0097347E">
              <w:t>2.1.</w:t>
            </w:r>
          </w:p>
        </w:tc>
        <w:tc>
          <w:tcPr>
            <w:tcW w:w="9072" w:type="dxa"/>
            <w:gridSpan w:val="3"/>
            <w:shd w:val="clear" w:color="auto" w:fill="auto"/>
          </w:tcPr>
          <w:p w:rsidR="00055680" w:rsidRPr="0097347E" w:rsidRDefault="00055680" w:rsidP="00EF4A24">
            <w:pPr>
              <w:jc w:val="both"/>
              <w:rPr>
                <w:i/>
              </w:rPr>
            </w:pPr>
            <w:r w:rsidRPr="0097347E">
              <w:rPr>
                <w:i/>
              </w:rPr>
              <w:t xml:space="preserve">Ukratko navesti argumente, razloge i potrebe da se nacrt prijedloga zakona uputi u proceduru Vlade Republike Hrvatske. Objasniti koji se ishodi odnosno promjene očekuju u području koje se namjerava urediti nacrtom prijedloga zakona. Objasniti koji su uzroci nastanka problema odnosno poteškoća u primjeni postojećeg zakonodavstva. Objasniti koje se posljedice očekuju ako se nacrt prijedloga zakona ne uputi u proceduru Vlade Republike Hrvatske na donošenje. </w:t>
            </w:r>
          </w:p>
          <w:p w:rsidR="00055680" w:rsidRPr="0097347E" w:rsidRDefault="00055680" w:rsidP="00EF4A24">
            <w:pPr>
              <w:jc w:val="both"/>
              <w:rPr>
                <w:i/>
              </w:rPr>
            </w:pPr>
            <w:r w:rsidRPr="0097347E">
              <w:rPr>
                <w:i/>
              </w:rPr>
              <w:t>Jasno utvrdite ciljeve koji se žele postići donošenjem nacrta prijedloga zakona uzimajući u obzir da cilj mora biti specifičan, mjerljiv, ostvariv, realistična i vremenski ograničen.</w:t>
            </w:r>
          </w:p>
        </w:tc>
      </w:tr>
      <w:tr w:rsidR="00055680" w:rsidRPr="0097347E" w:rsidTr="007C137B">
        <w:trPr>
          <w:trHeight w:val="240"/>
        </w:trPr>
        <w:tc>
          <w:tcPr>
            <w:tcW w:w="851" w:type="dxa"/>
            <w:shd w:val="clear" w:color="auto" w:fill="auto"/>
          </w:tcPr>
          <w:p w:rsidR="00055680" w:rsidRPr="0097347E" w:rsidRDefault="00055680" w:rsidP="00EF4A24">
            <w:pPr>
              <w:rPr>
                <w:b/>
              </w:rPr>
            </w:pPr>
            <w:r w:rsidRPr="0097347E">
              <w:rPr>
                <w:b/>
              </w:rPr>
              <w:t>3.</w:t>
            </w:r>
          </w:p>
        </w:tc>
        <w:tc>
          <w:tcPr>
            <w:tcW w:w="9072" w:type="dxa"/>
            <w:gridSpan w:val="3"/>
            <w:shd w:val="clear" w:color="auto" w:fill="auto"/>
          </w:tcPr>
          <w:p w:rsidR="00055680" w:rsidRPr="0097347E" w:rsidRDefault="00055680" w:rsidP="00EF4A24">
            <w:pPr>
              <w:rPr>
                <w:b/>
              </w:rPr>
            </w:pPr>
            <w:r w:rsidRPr="0097347E">
              <w:rPr>
                <w:b/>
              </w:rPr>
              <w:t xml:space="preserve">ANALIZA UTVRĐENIH IZRAVNIH UČINAKA  </w:t>
            </w:r>
          </w:p>
        </w:tc>
      </w:tr>
      <w:tr w:rsidR="00055680" w:rsidRPr="0097347E" w:rsidTr="007C137B">
        <w:tc>
          <w:tcPr>
            <w:tcW w:w="851" w:type="dxa"/>
          </w:tcPr>
          <w:p w:rsidR="00055680" w:rsidRPr="0097347E" w:rsidRDefault="00055680" w:rsidP="00EF4A24">
            <w:r w:rsidRPr="0097347E">
              <w:t>3.1.</w:t>
            </w:r>
          </w:p>
        </w:tc>
        <w:tc>
          <w:tcPr>
            <w:tcW w:w="9072" w:type="dxa"/>
            <w:gridSpan w:val="3"/>
          </w:tcPr>
          <w:p w:rsidR="00055680" w:rsidRPr="0097347E" w:rsidRDefault="00055680" w:rsidP="00EF4A24">
            <w:r w:rsidRPr="0097347E">
              <w:rPr>
                <w:b/>
              </w:rPr>
              <w:t xml:space="preserve">Analiza gospodarskih učinaka </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jc w:val="both"/>
              <w:rPr>
                <w:i/>
              </w:rPr>
            </w:pPr>
          </w:p>
          <w:p w:rsidR="00055680" w:rsidRPr="0097347E" w:rsidRDefault="00055680" w:rsidP="00EF4A24">
            <w:pPr>
              <w:jc w:val="both"/>
              <w:rPr>
                <w:i/>
              </w:rPr>
            </w:pPr>
            <w:r w:rsidRPr="0097347E">
              <w:rPr>
                <w:i/>
              </w:rPr>
              <w:t>Ako je u Prethodnoj procjeni utvrđena potreba za daljnjom analizom izravnih učinaka u ovome području, prilikom analize učinaka obratite pozornost na sljedeća pitanja:</w:t>
            </w:r>
          </w:p>
          <w:p w:rsidR="00055680" w:rsidRPr="0097347E" w:rsidRDefault="00055680" w:rsidP="00EF4A24">
            <w:pPr>
              <w:jc w:val="both"/>
              <w:rPr>
                <w:i/>
              </w:rPr>
            </w:pPr>
            <w:r w:rsidRPr="0097347E">
              <w:rPr>
                <w:i/>
              </w:rPr>
              <w:t>Da li nacrt prijedloga zakona utječe na gospodarski rast i/ili zaposlenost? Kako doprinosi poboljšanju uvjeta za ulaganje i funkcioniranje tržišta? Ima li izravnih učinak na makroekonomsku stabilnost? Koji su učinci na slobodno kretanje roba, usluga, kapitala i rada? Kakav je učinak na konkurentnost hrvatskih gospodarskih subjekata  na zajedničkom tržištu EU i u regiji? Potiče li nacrt prijedloga zakona priljev investicija? Može li utjecati na oglašavanje proizvoda tako da ograničava ili zabranjuje oglašavanje? Može li negativno utjecati na otvaranje novih gospodarskih subjekata, obrta ili njihovim zatvaranjem? Olakšava li uvođenje i širenje novih proizvodnih metoda, tehnologija i proizvoda? Utječe li na prava intelektualnog vlasništva (patenti, žigovi, autorska prava, ostala prava intelektualnog vlasništva)? Potiče li ili ograničava istraživanja akademskog ili industrijskog tipa? Potiče li bolju produktivnost/učinkovitost korištenja resursa?</w:t>
            </w:r>
          </w:p>
        </w:tc>
      </w:tr>
      <w:tr w:rsidR="00055680" w:rsidRPr="0097347E" w:rsidTr="007C137B">
        <w:tc>
          <w:tcPr>
            <w:tcW w:w="851" w:type="dxa"/>
          </w:tcPr>
          <w:p w:rsidR="00055680" w:rsidRPr="0097347E" w:rsidRDefault="00055680" w:rsidP="00EF4A24">
            <w:r w:rsidRPr="0097347E">
              <w:t>3.2.</w:t>
            </w:r>
          </w:p>
        </w:tc>
        <w:tc>
          <w:tcPr>
            <w:tcW w:w="9072" w:type="dxa"/>
            <w:gridSpan w:val="3"/>
          </w:tcPr>
          <w:p w:rsidR="00055680" w:rsidRPr="0097347E" w:rsidRDefault="00055680" w:rsidP="00EF4A24">
            <w:pPr>
              <w:rPr>
                <w:b/>
              </w:rPr>
            </w:pPr>
            <w:r w:rsidRPr="0097347E">
              <w:rPr>
                <w:b/>
              </w:rPr>
              <w:t>Analiza učinaka na zaštitu tržišnog natjecanja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rPr>
                <w:i/>
              </w:rPr>
            </w:pPr>
          </w:p>
          <w:p w:rsidR="00055680" w:rsidRPr="0097347E" w:rsidRDefault="00055680" w:rsidP="00EF4A24">
            <w:pPr>
              <w:rPr>
                <w:i/>
              </w:rPr>
            </w:pPr>
            <w:r w:rsidRPr="0097347E">
              <w:rPr>
                <w:i/>
              </w:rPr>
              <w:t xml:space="preserve">Ako je u Prethodnoj procjeni utvrđena potreba za daljnjom analizom izravnih učinaka u </w:t>
            </w:r>
            <w:r w:rsidRPr="0097347E">
              <w:rPr>
                <w:i/>
              </w:rPr>
              <w:lastRenderedPageBreak/>
              <w:t>ovome području, prilikom analize učinaka obratite pozornost na sljedeća pitanja:</w:t>
            </w:r>
          </w:p>
          <w:p w:rsidR="00055680" w:rsidRPr="0097347E" w:rsidRDefault="00055680" w:rsidP="00EF4A24">
            <w:pPr>
              <w:jc w:val="both"/>
              <w:rPr>
                <w:b/>
              </w:rPr>
            </w:pPr>
            <w:r w:rsidRPr="0097347E">
              <w:rPr>
                <w:i/>
              </w:rPr>
              <w:t xml:space="preserve">Da li utječe na tržišno natjecanje između poduzetnika na tržištu pod </w:t>
            </w:r>
            <w:proofErr w:type="spellStart"/>
            <w:r w:rsidRPr="0097347E">
              <w:rPr>
                <w:i/>
              </w:rPr>
              <w:t>nediskriminirajućim</w:t>
            </w:r>
            <w:proofErr w:type="spellEnd"/>
            <w:r w:rsidRPr="0097347E">
              <w:rPr>
                <w:i/>
              </w:rPr>
              <w:t xml:space="preserve"> uvjetima? Da li postoje regulacijske barijere (npr. regulirane profesije) u sektoru odnosno na tržištu? Da li nacrt prijedloga zakona može dovesti do smanjivanja izbora za potrošače, viših tržišnih cijena, stvaranja novih prepreka za dobavljače i pružatelje usluga, poticanja nekonkurentnog tržišnog ponašanja, stvaranja monopolističkog tržišta?</w:t>
            </w:r>
            <w:r w:rsidRPr="0097347E">
              <w:rPr>
                <w:b/>
              </w:rPr>
              <w:t xml:space="preserve"> </w:t>
            </w:r>
            <w:r w:rsidRPr="0097347E">
              <w:rPr>
                <w:i/>
              </w:rPr>
              <w:t xml:space="preserve">Da li postoje strukturalne, financijske, tehničke ili neke druge barijere u sektoru odnosno na tržištu koje se odnose na odredbe za robe i usluge? Da li postoji tijelo, primjerice tijelo lokalne samouprave kojem je povjerena pružanje javnih usluga i koje istovremeno obavlja neku gospodarsku aktivnost na tržištu?  </w:t>
            </w:r>
          </w:p>
        </w:tc>
      </w:tr>
      <w:tr w:rsidR="00055680" w:rsidRPr="0097347E" w:rsidTr="007C137B">
        <w:tc>
          <w:tcPr>
            <w:tcW w:w="851" w:type="dxa"/>
          </w:tcPr>
          <w:p w:rsidR="00055680" w:rsidRPr="0097347E" w:rsidRDefault="00055680" w:rsidP="00EF4A24">
            <w:r w:rsidRPr="0097347E">
              <w:lastRenderedPageBreak/>
              <w:t>3.3.</w:t>
            </w:r>
          </w:p>
        </w:tc>
        <w:tc>
          <w:tcPr>
            <w:tcW w:w="9072" w:type="dxa"/>
            <w:gridSpan w:val="3"/>
          </w:tcPr>
          <w:p w:rsidR="00055680" w:rsidRPr="0097347E" w:rsidRDefault="00055680" w:rsidP="00EF4A24">
            <w:r w:rsidRPr="0097347E">
              <w:rPr>
                <w:b/>
              </w:rPr>
              <w:t>Analiza socijalnih učinaka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rPr>
                <w:i/>
              </w:rPr>
            </w:pPr>
          </w:p>
          <w:p w:rsidR="00055680" w:rsidRPr="0097347E" w:rsidRDefault="00055680" w:rsidP="00EF4A24">
            <w:pPr>
              <w:jc w:val="both"/>
              <w:rPr>
                <w:i/>
              </w:rPr>
            </w:pPr>
            <w:r w:rsidRPr="0097347E">
              <w:rPr>
                <w:i/>
              </w:rPr>
              <w:t xml:space="preserve">Ako je u Prethodnoj procjeni utvrđena potreba za daljnjom analizom izravnih učinaka u ovome području, prilikom analize učinaka obratite pozornost na sljedeća pitanja: </w:t>
            </w:r>
          </w:p>
          <w:p w:rsidR="00055680" w:rsidRPr="0097347E" w:rsidRDefault="00055680" w:rsidP="00EF4A24">
            <w:pPr>
              <w:jc w:val="both"/>
              <w:rPr>
                <w:i/>
              </w:rPr>
            </w:pPr>
            <w:r w:rsidRPr="0097347E">
              <w:rPr>
                <w:i/>
              </w:rPr>
              <w:t xml:space="preserve">Da li nacrt prijedloga zakona utječe na demografske trendove u pozitivnom ili negativnom smislu? Kakav učinak se očekuje na sustav socijalne skrbi? Rezultira li, izravno ili neizravno jednakošću ili nejednakošću korisnika socijalne skrbi? Hoće li korisnici socijalne skrbi biti bolje informirani o ishodima nacrta prijedloga zakona? Utječe li na posebne skupine pojedinaca (primjerice, najranjivije ili najrizičnije kada je riječ </w:t>
            </w:r>
            <w:r>
              <w:rPr>
                <w:i/>
              </w:rPr>
              <w:t>o siromaštvu, djecu, žene, starije</w:t>
            </w:r>
            <w:r w:rsidRPr="0097347E">
              <w:rPr>
                <w:i/>
              </w:rPr>
              <w:t xml:space="preserve"> i nemoćne, osobe s posebnim potrebama, nezaposlene, azilante), gospodarske subjekte  ili ostale organizacije? Nameću li se dodatni administrativni zahtjevi pojedincima i povećava li njihov administrativni teret (npr. ishođenje javnih isprava, dodatno ispunjavanje obrazaca, dodatne potvrde drugih javnih institucija i organizacija, ograničavanje prava pojedinca i sl.? Utječe li na obiteljski život, instituciju braka odnosno pravnu, gospodarsku ili socijalnu zaštitu obitelji? Utječe li na prava djeteta? Utječe li na zdravstvene čimbenike koji su povezani sa stilom živote, poput prehrane, tjelesne aktivnosti ili upotrebe duhanskih proizvoda, alkohola i narkotika? Postoje li posebno pogođene rizične skupine ljudi (zbog dobi, spola, invaliditeta, mobilnosti, regionalne ili socijalne skupine)? Postoje li učinci na ostvarivanje prava na zdravstvenu zaštitu? </w:t>
            </w:r>
          </w:p>
        </w:tc>
      </w:tr>
      <w:tr w:rsidR="00055680" w:rsidRPr="0097347E" w:rsidTr="007C137B">
        <w:tc>
          <w:tcPr>
            <w:tcW w:w="851" w:type="dxa"/>
          </w:tcPr>
          <w:p w:rsidR="00055680" w:rsidRPr="0097347E" w:rsidRDefault="00055680" w:rsidP="00EF4A24">
            <w:r w:rsidRPr="0097347E">
              <w:t>3.4.</w:t>
            </w:r>
          </w:p>
        </w:tc>
        <w:tc>
          <w:tcPr>
            <w:tcW w:w="9072" w:type="dxa"/>
            <w:gridSpan w:val="3"/>
          </w:tcPr>
          <w:p w:rsidR="00055680" w:rsidRPr="0097347E" w:rsidRDefault="00055680" w:rsidP="00EF4A24">
            <w:pPr>
              <w:rPr>
                <w:b/>
              </w:rPr>
            </w:pPr>
            <w:r w:rsidRPr="0097347E">
              <w:rPr>
                <w:b/>
              </w:rPr>
              <w:t>Analiza učinaka na rad i tržište rada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rPr>
                <w:i/>
              </w:rPr>
            </w:pPr>
          </w:p>
          <w:p w:rsidR="00055680" w:rsidRPr="0097347E" w:rsidRDefault="00055680" w:rsidP="00EF4A24">
            <w:pPr>
              <w:rPr>
                <w:i/>
              </w:rPr>
            </w:pPr>
            <w:r w:rsidRPr="0097347E">
              <w:rPr>
                <w:i/>
              </w:rPr>
              <w:t>Ako je u Prethodnoj procjeni utvrđena potreba za daljnjom analizom izravnih učinaka u ovome području, prilikom analize učinaka obratite pozornost na sljedeća pitanja:</w:t>
            </w:r>
          </w:p>
          <w:p w:rsidR="00055680" w:rsidRPr="0097347E" w:rsidRDefault="00055680" w:rsidP="00EF4A24">
            <w:pPr>
              <w:jc w:val="both"/>
              <w:rPr>
                <w:i/>
              </w:rPr>
            </w:pPr>
            <w:r w:rsidRPr="0097347E">
              <w:rPr>
                <w:i/>
              </w:rPr>
              <w:t>Olakšava li nacrt prijedloga zakona otvaranje novih radnih mjesta? Dovodi li, izravno ili neizravno, do gubitka radnih mjesta? Ima li posebne negativne posljedice za pojedina zanimanja, skupine radnika ili samozaposlene? Ima li poseban učinak na pojedine dobne skupine radnika odnosno stanovništva? Utječe li na ponudu poslova? Ima li učinak na funkcioniranje tržišta rada? Ima li učinak na usklađivanje privatnog, obiteljskog i poslovnog života? Ima li učinak na kvalitetu radnog mjesta?</w:t>
            </w:r>
            <w:r w:rsidRPr="0097347E">
              <w:t xml:space="preserve"> </w:t>
            </w:r>
            <w:r w:rsidRPr="0097347E">
              <w:rPr>
                <w:i/>
              </w:rPr>
              <w:t>Utječe li na pristup radnika ili nezaposlenih programima usavršavanja, prekvalifikacije, dodatne edukacije? Ima li učinak na zdravlje i sigurnost radnika?</w:t>
            </w:r>
            <w:r w:rsidRPr="0097347E">
              <w:t xml:space="preserve"> </w:t>
            </w:r>
            <w:r w:rsidRPr="0097347E">
              <w:rPr>
                <w:i/>
              </w:rPr>
              <w:t>Utječe li izravno ili neizravno, na postojeća prava i obveze radnika?</w:t>
            </w:r>
            <w:r w:rsidRPr="0097347E">
              <w:t xml:space="preserve"> </w:t>
            </w:r>
            <w:r w:rsidRPr="0097347E">
              <w:rPr>
                <w:i/>
              </w:rPr>
              <w:t xml:space="preserve">Utječe li izravno ili neizravno, na postojeća prava i obveze poslodavaca? Utječe </w:t>
            </w:r>
            <w:r w:rsidRPr="0097347E">
              <w:rPr>
                <w:i/>
              </w:rPr>
              <w:lastRenderedPageBreak/>
              <w:t>li na autonomiju socijalnih partnera u područjima za koja su kompetentna? Utječe li, primjerice, na kolektivno pregovaranje na bilo kojoj razini ili na pravo kolektivnog djelovanja?</w:t>
            </w:r>
            <w:r w:rsidRPr="0097347E">
              <w:t xml:space="preserve"> </w:t>
            </w:r>
          </w:p>
        </w:tc>
      </w:tr>
      <w:tr w:rsidR="00055680" w:rsidRPr="0097347E" w:rsidTr="007C137B">
        <w:tc>
          <w:tcPr>
            <w:tcW w:w="851" w:type="dxa"/>
          </w:tcPr>
          <w:p w:rsidR="00055680" w:rsidRPr="0097347E" w:rsidRDefault="00055680" w:rsidP="00EF4A24">
            <w:r w:rsidRPr="0097347E">
              <w:lastRenderedPageBreak/>
              <w:t>3.5.</w:t>
            </w:r>
          </w:p>
        </w:tc>
        <w:tc>
          <w:tcPr>
            <w:tcW w:w="9072" w:type="dxa"/>
            <w:gridSpan w:val="3"/>
          </w:tcPr>
          <w:p w:rsidR="00055680" w:rsidRPr="0097347E" w:rsidRDefault="00055680" w:rsidP="00EF4A24">
            <w:pPr>
              <w:rPr>
                <w:b/>
              </w:rPr>
            </w:pPr>
            <w:r w:rsidRPr="0097347E">
              <w:rPr>
                <w:b/>
              </w:rPr>
              <w:t>Analiza učinaka na zaštitu okoliša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rPr>
                <w:i/>
              </w:rPr>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rPr>
                <w:i/>
              </w:rPr>
            </w:pPr>
          </w:p>
          <w:p w:rsidR="00055680" w:rsidRPr="0097347E" w:rsidRDefault="00055680" w:rsidP="00EF4A24">
            <w:pPr>
              <w:rPr>
                <w:i/>
              </w:rPr>
            </w:pPr>
            <w:r w:rsidRPr="0097347E">
              <w:rPr>
                <w:i/>
              </w:rPr>
              <w:t>Ako je u Prethodnoj procjeni utvrđena potreba za daljnjom analizom izravnih učinaka u ovome području, prilikom analize učinaka obratite pozornost na sljedeća pitanja:</w:t>
            </w:r>
          </w:p>
          <w:p w:rsidR="00055680" w:rsidRPr="0097347E" w:rsidRDefault="00055680" w:rsidP="00EF4A24">
            <w:pPr>
              <w:jc w:val="both"/>
              <w:rPr>
                <w:i/>
              </w:rPr>
            </w:pPr>
            <w:r w:rsidRPr="0097347E">
              <w:rPr>
                <w:i/>
              </w:rPr>
              <w:t xml:space="preserve">Da li ima učinak na ispuštanje stakleničkih plinova (npr. ugljičnog dioksida, metana, itd.) u atmosferu? Da li ima učinak na ispuštanje kiselih, fotokemijskih ili štetnih onečišćivača zraka koji mogu utjecati na ljudsko zdravlje, oštetiti usjeve ili zgrade ili dovesti do onečišćenja okoliša (tla, rijeka i dr.)? Da li ima učinak na energetske resurse za potrebe gospodarstva? Da li ima učinak na kombinaciju goriva (ugljena, plina, nuklearne energije, obnovljivih izvora) koji se koriste u proizvodnji energije? Hoće li povećati ili smanjiti potražnju za prijevozom (putničkim ili teretnim)?Hoće li povećati ili smanjiti potražnju za energijom i gorivom? Smanjuje li se broj bioloških vrsta/primjeraka u određenom području (npr. smanjivanjem </w:t>
            </w:r>
            <w:proofErr w:type="spellStart"/>
            <w:r w:rsidRPr="0097347E">
              <w:rPr>
                <w:i/>
              </w:rPr>
              <w:t>bioraznolikosti</w:t>
            </w:r>
            <w:proofErr w:type="spellEnd"/>
            <w:r w:rsidRPr="0097347E">
              <w:rPr>
                <w:i/>
              </w:rPr>
              <w:t xml:space="preserve">) ili povećava broj vrsta (npr. promicanjem njihovog očuvanja)? Utječe li na zaštićene ili ugrožene vrste, njihova staništa ili ekološki ugrožena područja? Da li se na bilo koji drugi način utječe na migracijske putove, ekološke koridore ili zaštićene ekološke zone? Da li se utječe na kvalitetu pitke vode i podzemnih voda? Da li se povećava ili smanjuje kvalitetu vode u priobalnim i morskim područjima (zbog ispuštanja kanalizacije, hranjivih tvari, ulja, teških metala i ostalih zagađivača)? Ima li opcija učinak na upotrebu obnovljivih izvora energije (vjetar, voda, sunce, more), obnovljivih resursa hrane (npr. riba) i njihovu uporabu brže nego se resursi mogu samostalno obnoviti? Hoće li tvrtke više ili manje zagađivati atmosferu zbog promjena u načinu poslovanja? Da li utječe na proizvodnju otpada (krutog, gradskog, poljoprivrednog, rudarskog, radioaktivnog ili toksičnog otpada)? Utječe li na rizik neovlaštenog ili nenamjernog ispuštanja ekološki štetnih ili genetski modificiranih organizama? Ima li učinak na okoliš ili na mjere zaštite okoliša u susjednim zemljama i zemljama članicama EU (na primjer, nove inicijative u obalnom području ili planovi za izgradnju brana na </w:t>
            </w:r>
            <w:proofErr w:type="spellStart"/>
            <w:r w:rsidRPr="0097347E">
              <w:rPr>
                <w:i/>
              </w:rPr>
              <w:t>rijekam</w:t>
            </w:r>
            <w:proofErr w:type="spellEnd"/>
            <w:r w:rsidRPr="0097347E">
              <w:rPr>
                <w:i/>
              </w:rPr>
              <w:t xml:space="preserve"> koje protječu kroz druge zemlje)?</w:t>
            </w:r>
          </w:p>
        </w:tc>
      </w:tr>
      <w:tr w:rsidR="00055680" w:rsidRPr="0097347E" w:rsidTr="007C137B">
        <w:tc>
          <w:tcPr>
            <w:tcW w:w="851" w:type="dxa"/>
          </w:tcPr>
          <w:p w:rsidR="00055680" w:rsidRPr="0097347E" w:rsidRDefault="00055680" w:rsidP="00EF4A24">
            <w:r w:rsidRPr="0097347E">
              <w:t>3.6.</w:t>
            </w:r>
          </w:p>
        </w:tc>
        <w:tc>
          <w:tcPr>
            <w:tcW w:w="9072" w:type="dxa"/>
            <w:gridSpan w:val="3"/>
          </w:tcPr>
          <w:p w:rsidR="00055680" w:rsidRPr="0097347E" w:rsidRDefault="00055680" w:rsidP="00EF4A24">
            <w:pPr>
              <w:rPr>
                <w:b/>
              </w:rPr>
            </w:pPr>
            <w:r w:rsidRPr="0097347E">
              <w:rPr>
                <w:b/>
              </w:rPr>
              <w:t>Analiza učinaka na zaštitu ljudskih prava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pPr>
            <w:r w:rsidRPr="0097347E">
              <w:rPr>
                <w:i/>
              </w:rPr>
              <w:t>Ako u Prethodnoj procjeni nije utvrđena potreba za daljnjom analizom izravnih učinaka u ovome području, potrebno je unijeti sljedeći tekst: „</w:t>
            </w:r>
            <w:r w:rsidRPr="0097347E">
              <w:t>Provedbom prethodne procjene nisu utvrđeni značajni učinci koji bi zahtijevali daljnju analizu u postupku procjene učinaka propisa.“</w:t>
            </w:r>
          </w:p>
          <w:p w:rsidR="00055680" w:rsidRPr="0097347E" w:rsidRDefault="00055680" w:rsidP="00EF4A24">
            <w:pPr>
              <w:rPr>
                <w:i/>
              </w:rPr>
            </w:pPr>
          </w:p>
          <w:p w:rsidR="00055680" w:rsidRPr="0097347E" w:rsidRDefault="00055680" w:rsidP="00EF4A24">
            <w:pPr>
              <w:rPr>
                <w:i/>
              </w:rPr>
            </w:pPr>
            <w:r w:rsidRPr="0097347E">
              <w:rPr>
                <w:i/>
              </w:rPr>
              <w:t xml:space="preserve">Ako je u Prethodnoj procjeni utvrđena potreba za daljnjom analizom izravnih učinaka u ovome području, prilikom analize učinaka obratite pozornost na sljedeća pitanja: </w:t>
            </w:r>
          </w:p>
          <w:p w:rsidR="00055680" w:rsidRPr="0097347E" w:rsidRDefault="00055680" w:rsidP="00EF4A24">
            <w:pPr>
              <w:jc w:val="both"/>
              <w:rPr>
                <w:i/>
              </w:rPr>
            </w:pPr>
            <w:r w:rsidRPr="0097347E">
              <w:rPr>
                <w:i/>
              </w:rPr>
              <w:t xml:space="preserve">Utječe li na značajno na građane drugih nacionalnosti ili na strane sezonske radnike? Utječe li na nediskriminaciju, jednaki tretman i jednake prilike za sve? Ima li različit učinak na žene i muškarce? Promiče li se ravnopravnost između žena i muškaraca? Podrazumijeva li različit tretman skupina ili pojedinaca na osnovi spola, rasnog ili nacionalnog podrijetla, vjerskog opredjeljenja, invaliditeta, dobi ili seksualne orijentacije? Može li dovesti do neizravne diskriminacije? Utječe li na prava djeteta? Utječe li na privatnost pojedinaca (uključujući njihovo mjesto stanovanja i njihovu komunikaciju)? Utječe li na pravo izbora i slobode pojedinaca? Uključuje li obradu osobnih podataka ili </w:t>
            </w:r>
            <w:r w:rsidRPr="0097347E">
              <w:rPr>
                <w:i/>
              </w:rPr>
              <w:lastRenderedPageBreak/>
              <w:t>tiče li se prava pojedinca na pristup osobnim podacima? Da li se ograničava ili potiče uključenost dionika u proces donošenja odluka kao što je predviđeno posebnim nacionalnim i europskim zakonodavstvom (npr. Zakon o procjeni učinaka propisa, Kodeks savjetovanja sa zainteresiranom javnošću u postupcima donošenja zakona i drugih propisa)? Odnosi li se prema svim sudionicima i dionicima jednako, uz dužno poštovanje prema različitostima? Utječe li mjera na kulturološku i jezičnu raznolikost? Hoće li utjecati na prava pojedinaca i njihov odnos s javnom upravom? Utječe li na pristup pojedinca pravnim institucijama? Utječe li na medije, pluralizam medija i slobodu govora? Uključuje li na etička pitanja (kloniranje, uporaba ljudskog tijela ili dijelova tijela za financijsku dobit, genetička istraživanja, uporaba genetičkih informacija)? Hoće li utjecati na pravo na slobodu i sigurnost, pravo na pošteno suđenje i pravo na obranu? Hoće li utjecati na prava žrtvi i svjedoka? Utječe li na kapacitet redarstvenih snaga?</w:t>
            </w:r>
            <w:r w:rsidRPr="0097347E">
              <w:t xml:space="preserve"> </w:t>
            </w:r>
            <w:r w:rsidRPr="0097347E">
              <w:rPr>
                <w:i/>
              </w:rPr>
              <w:t>Utječe li na javne institucije i administraciju, primjerice, u smislu njihovih nadležnosti? Može li povećati broj kriminalnih djela?</w:t>
            </w:r>
          </w:p>
        </w:tc>
      </w:tr>
      <w:tr w:rsidR="00055680" w:rsidRPr="0097347E" w:rsidTr="007C137B">
        <w:tc>
          <w:tcPr>
            <w:tcW w:w="851" w:type="dxa"/>
          </w:tcPr>
          <w:p w:rsidR="00055680" w:rsidRPr="0097347E" w:rsidRDefault="00055680" w:rsidP="00EF4A24">
            <w:r w:rsidRPr="0097347E">
              <w:lastRenderedPageBreak/>
              <w:t>4.</w:t>
            </w:r>
          </w:p>
        </w:tc>
        <w:tc>
          <w:tcPr>
            <w:tcW w:w="9072" w:type="dxa"/>
            <w:gridSpan w:val="3"/>
          </w:tcPr>
          <w:p w:rsidR="00055680" w:rsidRPr="0097347E" w:rsidRDefault="00055680" w:rsidP="00EF4A24">
            <w:pPr>
              <w:rPr>
                <w:b/>
              </w:rPr>
            </w:pPr>
            <w:r w:rsidRPr="0097347E">
              <w:rPr>
                <w:b/>
              </w:rPr>
              <w:t>TEST MALOG I SREDNJEG PODUZETNIŠTVA (MSP TEST)</w:t>
            </w:r>
          </w:p>
          <w:p w:rsidR="00055680" w:rsidRPr="0097347E" w:rsidRDefault="00055680" w:rsidP="00EF4A24">
            <w:pPr>
              <w:jc w:val="both"/>
            </w:pPr>
            <w:r w:rsidRPr="0097347E">
              <w:t>MSP testom ocjenjuju se gospodarski učinci nacrta prijedloga zakona na male i srednje poduzetnike, ako je provedbom Prethodnog MSP testa u okviru Prethodne procjene utvrđena obveza provedbe učinaka propisa na malo gospodarstvo i izrada MSP testa.</w:t>
            </w:r>
          </w:p>
          <w:p w:rsidR="00055680" w:rsidRPr="0097347E" w:rsidRDefault="00055680" w:rsidP="00EF4A24">
            <w:pPr>
              <w:jc w:val="both"/>
            </w:pPr>
            <w:r w:rsidRPr="0097347E">
              <w:t xml:space="preserve">Pri odlučivanju o kvaliteti izrade MSP testa isključivo je mjerodavno mišljenje tijela nadležnog za njihovo provođenje sukladno Zakonu o procjeni učinaka propisa ("Narodne </w:t>
            </w:r>
            <w:proofErr w:type="spellStart"/>
            <w:r w:rsidRPr="0097347E">
              <w:t>novine"broj</w:t>
            </w:r>
            <w:proofErr w:type="spellEnd"/>
            <w:r w:rsidRPr="0097347E">
              <w:t xml:space="preserve"> 44/17).</w:t>
            </w:r>
          </w:p>
        </w:tc>
      </w:tr>
      <w:tr w:rsidR="00055680" w:rsidRPr="0097347E" w:rsidTr="007C137B">
        <w:tc>
          <w:tcPr>
            <w:tcW w:w="851" w:type="dxa"/>
          </w:tcPr>
          <w:p w:rsidR="00055680" w:rsidRPr="0097347E" w:rsidRDefault="00055680" w:rsidP="00EF4A24">
            <w:r w:rsidRPr="0097347E">
              <w:t>4.1.</w:t>
            </w:r>
          </w:p>
        </w:tc>
        <w:tc>
          <w:tcPr>
            <w:tcW w:w="9072" w:type="dxa"/>
            <w:gridSpan w:val="3"/>
          </w:tcPr>
          <w:p w:rsidR="00055680" w:rsidRPr="0097347E" w:rsidRDefault="00055680" w:rsidP="00EF4A24">
            <w:pPr>
              <w:rPr>
                <w:b/>
              </w:rPr>
            </w:pPr>
            <w:r w:rsidRPr="0097347E">
              <w:rPr>
                <w:b/>
              </w:rPr>
              <w:t>Moguće opcije javnih politika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rsidR="00055680" w:rsidRPr="0097347E" w:rsidRDefault="00055680" w:rsidP="00EF4A24">
            <w:pPr>
              <w:spacing w:after="60"/>
              <w:jc w:val="both"/>
              <w:rPr>
                <w:rFonts w:eastAsia="Times New Roman"/>
                <w:i/>
                <w:szCs w:val="24"/>
              </w:rPr>
            </w:pPr>
            <w:r w:rsidRPr="0097347E">
              <w:rPr>
                <w:rFonts w:eastAsia="Times New Roman"/>
                <w:i/>
                <w:szCs w:val="24"/>
              </w:rPr>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055680" w:rsidRPr="0097347E" w:rsidRDefault="00055680" w:rsidP="00EF4A24">
            <w:pPr>
              <w:spacing w:after="60"/>
              <w:jc w:val="both"/>
              <w:rPr>
                <w:rFonts w:eastAsia="Times New Roman"/>
                <w:i/>
                <w:szCs w:val="24"/>
              </w:rPr>
            </w:pPr>
            <w:r w:rsidRPr="0097347E">
              <w:rPr>
                <w:rFonts w:eastAsia="Times New Roman"/>
                <w:i/>
                <w:szCs w:val="24"/>
              </w:rPr>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055680" w:rsidRPr="0097347E" w:rsidRDefault="00055680" w:rsidP="00EF4A24">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rsidR="00055680" w:rsidRPr="0097347E" w:rsidRDefault="00055680" w:rsidP="00EF4A24">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rsidR="00055680" w:rsidRPr="0097347E" w:rsidRDefault="00055680" w:rsidP="00EF4A24">
            <w:pPr>
              <w:spacing w:after="60"/>
              <w:jc w:val="both"/>
              <w:rPr>
                <w:rFonts w:eastAsia="Times New Roman"/>
                <w:szCs w:val="24"/>
              </w:rPr>
            </w:pP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OPCIJE ZA MSP TEST</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055680" w:rsidRPr="0097347E" w:rsidRDefault="00055680" w:rsidP="00EF4A24">
            <w:pPr>
              <w:spacing w:after="60"/>
              <w:jc w:val="both"/>
              <w:rPr>
                <w:rFonts w:eastAsia="Times New Roman"/>
                <w:szCs w:val="24"/>
              </w:rPr>
            </w:pPr>
            <w:r w:rsidRPr="0097347E">
              <w:rPr>
                <w:rFonts w:eastAsia="Times New Roman"/>
                <w:szCs w:val="24"/>
              </w:rPr>
              <w:t>4.1.3. Opcija 3. (normativno rješenje) »Poduzimati nenormativnu aktivnost A«</w:t>
            </w:r>
          </w:p>
          <w:p w:rsidR="00055680" w:rsidRPr="0097347E" w:rsidRDefault="00055680" w:rsidP="00EF4A24">
            <w:pPr>
              <w:spacing w:after="60"/>
              <w:jc w:val="both"/>
              <w:rPr>
                <w:rFonts w:eastAsia="Times New Roman"/>
                <w:szCs w:val="24"/>
              </w:rPr>
            </w:pPr>
            <w:r w:rsidRPr="0097347E">
              <w:rPr>
                <w:rFonts w:eastAsia="Times New Roman"/>
                <w:szCs w:val="24"/>
              </w:rPr>
              <w:t>4.1.4. Opcija 4. (normativno rješenje) »Poduzimati nenormativnu aktivnost B«</w:t>
            </w:r>
          </w:p>
          <w:p w:rsidR="00055680" w:rsidRPr="0097347E" w:rsidRDefault="00055680" w:rsidP="00EF4A24"/>
        </w:tc>
      </w:tr>
      <w:tr w:rsidR="00055680" w:rsidRPr="0097347E" w:rsidTr="00EF4A24">
        <w:trPr>
          <w:trHeight w:val="6662"/>
        </w:trPr>
        <w:tc>
          <w:tcPr>
            <w:tcW w:w="851" w:type="dxa"/>
          </w:tcPr>
          <w:p w:rsidR="00055680" w:rsidRPr="0097347E" w:rsidRDefault="00055680" w:rsidP="00EF4A24">
            <w:r w:rsidRPr="0097347E">
              <w:lastRenderedPageBreak/>
              <w:t>4.2.</w:t>
            </w:r>
          </w:p>
        </w:tc>
        <w:tc>
          <w:tcPr>
            <w:tcW w:w="9072" w:type="dxa"/>
            <w:gridSpan w:val="3"/>
            <w:shd w:val="clear" w:color="auto" w:fill="auto"/>
          </w:tcPr>
          <w:p w:rsidR="00055680" w:rsidRPr="0097347E" w:rsidRDefault="00055680" w:rsidP="00EF4A24">
            <w:pPr>
              <w:spacing w:after="60"/>
              <w:jc w:val="both"/>
              <w:rPr>
                <w:rFonts w:eastAsia="Times New Roman"/>
                <w:b/>
                <w:szCs w:val="24"/>
              </w:rPr>
            </w:pPr>
            <w:r w:rsidRPr="0097347E">
              <w:rPr>
                <w:rFonts w:eastAsia="Times New Roman"/>
                <w:b/>
                <w:szCs w:val="24"/>
              </w:rPr>
              <w:t>Ocjena i opcije</w:t>
            </w:r>
          </w:p>
          <w:p w:rsidR="00055680" w:rsidRPr="0097347E" w:rsidRDefault="00055680" w:rsidP="00EF4A24">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055680" w:rsidRPr="0097347E" w:rsidRDefault="00055680" w:rsidP="00EF4A24">
            <w:pPr>
              <w:spacing w:after="60"/>
              <w:jc w:val="both"/>
              <w:rPr>
                <w:rFonts w:eastAsia="Times New Roman"/>
                <w:i/>
                <w:szCs w:val="24"/>
              </w:rPr>
            </w:pPr>
          </w:p>
          <w:p w:rsidR="00055680" w:rsidRPr="0097347E" w:rsidRDefault="00055680" w:rsidP="00EF4A24">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Koristi (pozitivni učinci)</w:t>
                  </w: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7C137B">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bl>
          <w:p w:rsidR="00055680" w:rsidRPr="0097347E" w:rsidRDefault="00055680" w:rsidP="00EF4A24">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055680" w:rsidRPr="0097347E" w:rsidTr="007C137B">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Legenda: </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 znatan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1 nema učinka</w:t>
                  </w:r>
                </w:p>
                <w:p w:rsidR="00055680" w:rsidRPr="0097347E" w:rsidRDefault="00055680" w:rsidP="00EF4A24">
                  <w:pPr>
                    <w:widowControl w:val="0"/>
                    <w:autoSpaceDE w:val="0"/>
                    <w:spacing w:after="60"/>
                    <w:ind w:left="45"/>
                    <w:jc w:val="both"/>
                    <w:rPr>
                      <w:rFonts w:eastAsia="Times New Roman"/>
                      <w:szCs w:val="24"/>
                    </w:rPr>
                  </w:pPr>
                  <w:r w:rsidRPr="0097347E">
                    <w:rPr>
                      <w:rFonts w:eastAsia="Times New Roman"/>
                      <w:szCs w:val="24"/>
                    </w:rPr>
                    <w:t>+ ograničen pozitivan učinak</w:t>
                  </w:r>
                </w:p>
                <w:p w:rsidR="00055680" w:rsidRPr="0097347E" w:rsidRDefault="00055680" w:rsidP="00EF4A24">
                  <w:pPr>
                    <w:spacing w:after="60"/>
                    <w:jc w:val="both"/>
                    <w:rPr>
                      <w:szCs w:val="24"/>
                    </w:rPr>
                  </w:pPr>
                  <w:r w:rsidRPr="0097347E">
                    <w:rPr>
                      <w:rFonts w:eastAsia="Times New Roman"/>
                      <w:szCs w:val="24"/>
                    </w:rPr>
                    <w:t>+ + znatan pozitivan učinak</w:t>
                  </w:r>
                </w:p>
              </w:tc>
            </w:tr>
          </w:tbl>
          <w:p w:rsidR="00055680" w:rsidRPr="0097347E" w:rsidRDefault="00055680" w:rsidP="00EF4A24">
            <w:pPr>
              <w:spacing w:after="60"/>
              <w:jc w:val="both"/>
              <w:rPr>
                <w:rFonts w:eastAsia="Times New Roman"/>
                <w:b/>
                <w:szCs w:val="24"/>
              </w:rPr>
            </w:pPr>
          </w:p>
        </w:tc>
      </w:tr>
      <w:tr w:rsidR="00055680" w:rsidRPr="0097347E" w:rsidTr="007C137B">
        <w:tc>
          <w:tcPr>
            <w:tcW w:w="851" w:type="dxa"/>
            <w:vMerge w:val="restart"/>
          </w:tcPr>
          <w:p w:rsidR="00055680" w:rsidRPr="0097347E" w:rsidRDefault="00055680" w:rsidP="00EF4A24">
            <w:r w:rsidRPr="0097347E">
              <w:t xml:space="preserve">5. </w:t>
            </w:r>
          </w:p>
        </w:tc>
        <w:tc>
          <w:tcPr>
            <w:tcW w:w="9072" w:type="dxa"/>
            <w:gridSpan w:val="3"/>
          </w:tcPr>
          <w:p w:rsidR="00055680" w:rsidRPr="0097347E" w:rsidRDefault="00055680" w:rsidP="00EF4A24">
            <w:pPr>
              <w:rPr>
                <w:b/>
              </w:rPr>
            </w:pPr>
            <w:r w:rsidRPr="0097347E">
              <w:rPr>
                <w:b/>
              </w:rPr>
              <w:t>PROVOĐENJE SCM METODOLOGIJE</w:t>
            </w:r>
          </w:p>
        </w:tc>
      </w:tr>
      <w:tr w:rsidR="00055680" w:rsidRPr="0097347E" w:rsidTr="00EF4A24">
        <w:tc>
          <w:tcPr>
            <w:tcW w:w="851" w:type="dxa"/>
            <w:vMerge/>
          </w:tcPr>
          <w:p w:rsidR="00055680" w:rsidRPr="0097347E" w:rsidRDefault="00055680" w:rsidP="00EF4A24"/>
        </w:tc>
        <w:tc>
          <w:tcPr>
            <w:tcW w:w="9072" w:type="dxa"/>
            <w:gridSpan w:val="3"/>
            <w:shd w:val="clear" w:color="auto" w:fill="auto"/>
          </w:tcPr>
          <w:p w:rsidR="00055680" w:rsidRPr="0097347E" w:rsidRDefault="00055680" w:rsidP="00EF4A24">
            <w:pPr>
              <w:jc w:val="both"/>
              <w:rPr>
                <w:rFonts w:eastAsia="Times New Roman"/>
                <w:i/>
                <w:szCs w:val="24"/>
              </w:rPr>
            </w:pPr>
            <w:r w:rsidRPr="0097347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97347E">
              <w:rPr>
                <w:rFonts w:eastAsia="Times New Roman"/>
                <w:i/>
                <w:szCs w:val="24"/>
              </w:rPr>
              <w:t>Cost</w:t>
            </w:r>
            <w:proofErr w:type="spellEnd"/>
            <w:r w:rsidRPr="0097347E">
              <w:rPr>
                <w:rFonts w:eastAsia="Times New Roman"/>
                <w:i/>
                <w:szCs w:val="24"/>
              </w:rPr>
              <w:t xml:space="preserve"> Model (SCM) tablicu s procjenom mogućeg administrativnog troška za svaku propisanu obvezu i zahtjev (SCM kalkulator). </w:t>
            </w:r>
          </w:p>
          <w:p w:rsidR="00055680" w:rsidRPr="0097347E" w:rsidRDefault="00055680" w:rsidP="00EF4A24">
            <w:pPr>
              <w:jc w:val="both"/>
              <w:rPr>
                <w:rFonts w:eastAsia="Times New Roman"/>
                <w:i/>
                <w:szCs w:val="24"/>
              </w:rPr>
            </w:pPr>
            <w:r w:rsidRPr="0097347E">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055680" w:rsidRPr="0097347E" w:rsidRDefault="00055680" w:rsidP="00EF4A24">
            <w:pPr>
              <w:jc w:val="both"/>
              <w:rPr>
                <w:rFonts w:eastAsia="Times New Roman"/>
                <w:i/>
                <w:szCs w:val="24"/>
              </w:rPr>
            </w:pPr>
            <w:r w:rsidRPr="0097347E">
              <w:rPr>
                <w:rFonts w:eastAsia="Times New Roman"/>
                <w:i/>
                <w:szCs w:val="24"/>
              </w:rPr>
              <w:t xml:space="preserve">SCM kalkulator dostupan je na stranici: </w:t>
            </w:r>
            <w:hyperlink r:id="rId5" w:history="1">
              <w:r w:rsidRPr="0097347E">
                <w:rPr>
                  <w:rStyle w:val="Hyperlink"/>
                  <w:szCs w:val="24"/>
                </w:rPr>
                <w:t>http://www.mingo.hr/page/standard-cost-model</w:t>
              </w:r>
            </w:hyperlink>
          </w:p>
          <w:p w:rsidR="00055680" w:rsidRPr="0097347E" w:rsidRDefault="00055680" w:rsidP="00EF4A24">
            <w:pPr>
              <w:jc w:val="both"/>
              <w:rPr>
                <w:rFonts w:eastAsia="Times New Roman"/>
                <w:i/>
                <w:szCs w:val="24"/>
              </w:rPr>
            </w:pPr>
          </w:p>
        </w:tc>
      </w:tr>
      <w:tr w:rsidR="00055680" w:rsidRPr="0097347E" w:rsidTr="007C137B">
        <w:tc>
          <w:tcPr>
            <w:tcW w:w="851" w:type="dxa"/>
          </w:tcPr>
          <w:p w:rsidR="00055680" w:rsidRPr="0097347E" w:rsidRDefault="00055680" w:rsidP="00EF4A24">
            <w:r w:rsidRPr="0097347E">
              <w:t>6.</w:t>
            </w:r>
          </w:p>
        </w:tc>
        <w:tc>
          <w:tcPr>
            <w:tcW w:w="9072" w:type="dxa"/>
            <w:gridSpan w:val="3"/>
          </w:tcPr>
          <w:p w:rsidR="00055680" w:rsidRPr="0097347E" w:rsidRDefault="00055680" w:rsidP="00EF4A24">
            <w:pPr>
              <w:rPr>
                <w:b/>
              </w:rPr>
            </w:pPr>
            <w:r w:rsidRPr="0097347E">
              <w:rPr>
                <w:b/>
              </w:rPr>
              <w:t>SAVJETOVANJE I KONZULTACIJE</w:t>
            </w:r>
          </w:p>
        </w:tc>
      </w:tr>
      <w:tr w:rsidR="00055680" w:rsidRPr="0097347E" w:rsidTr="00EF4A24">
        <w:trPr>
          <w:trHeight w:val="425"/>
        </w:trPr>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szCs w:val="24"/>
              </w:rPr>
            </w:pPr>
            <w:r w:rsidRPr="0097347E">
              <w:rPr>
                <w:i/>
              </w:rPr>
              <w:t>Savjetovanje se provodi u trajanju od najmanje 30 dana uz</w:t>
            </w:r>
            <w:r w:rsidRPr="0097347E">
              <w:rPr>
                <w:i/>
                <w:szCs w:val="24"/>
              </w:rPr>
              <w:t xml:space="preserve"> javno izlaganje materije koja je predmet savjetovan</w:t>
            </w:r>
            <w:r w:rsidRPr="0097347E">
              <w:rPr>
                <w:i/>
              </w:rPr>
              <w:t>ja.</w:t>
            </w:r>
            <w:r w:rsidRPr="0097347E">
              <w:rPr>
                <w:i/>
                <w:szCs w:val="24"/>
              </w:rPr>
              <w:t xml:space="preserve"> Savjetovanje se provodi putem središnjeg državnog internetskog portala za savjetovanje s javnošću objavom nacrta prijedloga zakona i Iskaza o procjeni učinaka propisa. </w:t>
            </w:r>
            <w:r w:rsidRPr="0097347E">
              <w:rPr>
                <w:i/>
              </w:rPr>
              <w:t>Tijekom savjetovanja potrebno je provesti jedno ili više javnih izlaganja nacrta prijedloga zakona i Iskaza o procjeni učinaka propisa neposrednim kontaktom s dionicima.</w:t>
            </w:r>
          </w:p>
          <w:p w:rsidR="00055680" w:rsidRPr="0097347E" w:rsidRDefault="00055680" w:rsidP="00EF4A24">
            <w:pPr>
              <w:jc w:val="both"/>
              <w:rPr>
                <w:i/>
              </w:rPr>
            </w:pPr>
            <w:r w:rsidRPr="0097347E">
              <w:rPr>
                <w:i/>
              </w:rPr>
              <w:t xml:space="preserve">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nacrt prijedloga zakona i Iskaz o procjeni učinaka propisa. </w:t>
            </w:r>
          </w:p>
          <w:p w:rsidR="00055680" w:rsidRPr="0097347E" w:rsidRDefault="00055680" w:rsidP="00EF4A24">
            <w:pPr>
              <w:contextualSpacing/>
              <w:jc w:val="both"/>
              <w:rPr>
                <w:i/>
                <w:szCs w:val="24"/>
              </w:rPr>
            </w:pPr>
            <w:r w:rsidRPr="0097347E">
              <w:rPr>
                <w:i/>
                <w:szCs w:val="24"/>
              </w:rPr>
              <w:t xml:space="preserve">Istovremeno sa savjetovanjem, </w:t>
            </w:r>
            <w:r w:rsidRPr="0097347E">
              <w:rPr>
                <w:i/>
              </w:rPr>
              <w:t>I</w:t>
            </w:r>
            <w:r w:rsidRPr="0097347E">
              <w:rPr>
                <w:i/>
                <w:szCs w:val="24"/>
              </w:rPr>
              <w:t>skaz o procjeni učinaka propisa dostavlja se na mišljenje nadležnim tijelima</w:t>
            </w:r>
            <w:r w:rsidRPr="0097347E">
              <w:rPr>
                <w:i/>
              </w:rPr>
              <w:t xml:space="preserve"> i Uredu za zakonodavstvo. Potrebno je ukratko navesti kojim nadležnim </w:t>
            </w:r>
            <w:r w:rsidRPr="0097347E">
              <w:rPr>
                <w:i/>
              </w:rPr>
              <w:lastRenderedPageBreak/>
              <w:t>tijelima je dostavljen Iskaz o procjeni učinaka propisa i kada je zaprimljeno mišljenje nadležnog tijela i Ureda za zakonodavstvo.</w:t>
            </w:r>
          </w:p>
        </w:tc>
      </w:tr>
      <w:tr w:rsidR="00055680" w:rsidRPr="0097347E" w:rsidTr="007C137B">
        <w:tc>
          <w:tcPr>
            <w:tcW w:w="851" w:type="dxa"/>
          </w:tcPr>
          <w:p w:rsidR="00055680" w:rsidRPr="0097347E" w:rsidRDefault="00055680" w:rsidP="00EF4A24">
            <w:r w:rsidRPr="0097347E">
              <w:lastRenderedPageBreak/>
              <w:t>7.</w:t>
            </w:r>
          </w:p>
        </w:tc>
        <w:tc>
          <w:tcPr>
            <w:tcW w:w="9072" w:type="dxa"/>
            <w:gridSpan w:val="3"/>
          </w:tcPr>
          <w:p w:rsidR="00055680" w:rsidRPr="0097347E" w:rsidRDefault="00055680" w:rsidP="00EF4A24">
            <w:r w:rsidRPr="0097347E">
              <w:rPr>
                <w:b/>
              </w:rPr>
              <w:t>OPTIMALNO RJEŠENJE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tc>
      </w:tr>
      <w:tr w:rsidR="00055680" w:rsidRPr="0097347E" w:rsidTr="007C137B">
        <w:tc>
          <w:tcPr>
            <w:tcW w:w="851" w:type="dxa"/>
          </w:tcPr>
          <w:p w:rsidR="00055680" w:rsidRPr="0097347E" w:rsidRDefault="00055680" w:rsidP="00EF4A24">
            <w:r w:rsidRPr="0097347E">
              <w:t>8.</w:t>
            </w:r>
          </w:p>
        </w:tc>
        <w:tc>
          <w:tcPr>
            <w:tcW w:w="9072" w:type="dxa"/>
            <w:gridSpan w:val="3"/>
          </w:tcPr>
          <w:p w:rsidR="00055680" w:rsidRPr="0097347E" w:rsidRDefault="00055680" w:rsidP="00EF4A24">
            <w:pPr>
              <w:rPr>
                <w:b/>
              </w:rPr>
            </w:pPr>
            <w:r w:rsidRPr="0097347E">
              <w:rPr>
                <w:b/>
              </w:rPr>
              <w:t>VREMENSKI OKVIR I VREDNOVANJE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Sažeto i jasno navedite vremenski okvir postizanja očekivanih ishoda zakona, kako bi se omogućilo kontinuirano praćenje provedbe, kao i naknadno vrednovanje provedbe zakona. Za praćenje provedbe zakona  potrebno je sažeto navesti kratki pregled postupka provedbe, utvrditi osnovne indikatore za praćenje provedbe (osnovne pokazatelje uspješnosti), utvrditi osnovne indikatore za vrednovanje postignutih ishoda zakona. Ako do sada nije bilo dostupnih podataka, odnosno podaci nisu bili cjeloviti ili se nisu prikupljali na odgovarajući način, kroz praćenje provedbe zakona moguće je utvrditi osnovne indikatore na temelju kojih će se podaci početi prikupljati.</w:t>
            </w:r>
          </w:p>
        </w:tc>
      </w:tr>
      <w:tr w:rsidR="00055680" w:rsidRPr="0097347E" w:rsidTr="007C137B">
        <w:tc>
          <w:tcPr>
            <w:tcW w:w="851" w:type="dxa"/>
          </w:tcPr>
          <w:p w:rsidR="00055680" w:rsidRPr="0097347E" w:rsidRDefault="00055680" w:rsidP="00EF4A24">
            <w:r w:rsidRPr="0097347E">
              <w:t xml:space="preserve">9. </w:t>
            </w:r>
          </w:p>
        </w:tc>
        <w:tc>
          <w:tcPr>
            <w:tcW w:w="9072" w:type="dxa"/>
            <w:gridSpan w:val="3"/>
          </w:tcPr>
          <w:p w:rsidR="00055680" w:rsidRPr="0097347E" w:rsidRDefault="00055680" w:rsidP="00EF4A24">
            <w:pPr>
              <w:jc w:val="both"/>
              <w:rPr>
                <w:b/>
              </w:rPr>
            </w:pPr>
            <w:r w:rsidRPr="0097347E">
              <w:rPr>
                <w:b/>
              </w:rPr>
              <w:t>PRILOZI</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U prilogu se prilažu važniji dokume</w:t>
            </w:r>
            <w:bookmarkStart w:id="0" w:name="_GoBack"/>
            <w:bookmarkEnd w:id="0"/>
            <w:r w:rsidRPr="0097347E">
              <w:rPr>
                <w:i/>
              </w:rPr>
              <w:t>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55680" w:rsidRPr="0097347E" w:rsidTr="007C137B">
        <w:tc>
          <w:tcPr>
            <w:tcW w:w="851" w:type="dxa"/>
          </w:tcPr>
          <w:p w:rsidR="00055680" w:rsidRPr="0097347E" w:rsidRDefault="00055680" w:rsidP="00EF4A24">
            <w:r w:rsidRPr="0097347E">
              <w:t xml:space="preserve">10. </w:t>
            </w:r>
          </w:p>
        </w:tc>
        <w:tc>
          <w:tcPr>
            <w:tcW w:w="9072" w:type="dxa"/>
            <w:gridSpan w:val="3"/>
          </w:tcPr>
          <w:p w:rsidR="00055680" w:rsidRPr="0097347E" w:rsidRDefault="00055680" w:rsidP="00EF4A24">
            <w:pPr>
              <w:rPr>
                <w:b/>
                <w:szCs w:val="24"/>
              </w:rPr>
            </w:pPr>
            <w:r w:rsidRPr="0097347E">
              <w:rPr>
                <w:b/>
                <w:szCs w:val="24"/>
              </w:rPr>
              <w:t>POTPIS ČELNIKA TIJELA</w:t>
            </w:r>
          </w:p>
        </w:tc>
      </w:tr>
      <w:tr w:rsidR="00055680" w:rsidRPr="0097347E" w:rsidTr="007C137B">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Potpis:</w:t>
            </w:r>
          </w:p>
          <w:p w:rsidR="00055680" w:rsidRPr="0097347E" w:rsidRDefault="00055680" w:rsidP="00EF4A24">
            <w:pPr>
              <w:jc w:val="both"/>
              <w:rPr>
                <w:rFonts w:eastAsia="Times New Roman"/>
                <w:szCs w:val="24"/>
              </w:rPr>
            </w:pPr>
          </w:p>
          <w:p w:rsidR="00055680" w:rsidRPr="0097347E" w:rsidRDefault="00055680" w:rsidP="00EF4A24">
            <w:pPr>
              <w:jc w:val="both"/>
              <w:rPr>
                <w:rFonts w:eastAsia="Times New Roman"/>
                <w:szCs w:val="24"/>
              </w:rPr>
            </w:pPr>
            <w:r w:rsidRPr="0097347E">
              <w:rPr>
                <w:rFonts w:eastAsia="Times New Roman"/>
                <w:szCs w:val="24"/>
              </w:rPr>
              <w:t>Datum:</w:t>
            </w:r>
          </w:p>
          <w:p w:rsidR="00055680" w:rsidRPr="0097347E" w:rsidRDefault="00055680" w:rsidP="00EF4A24">
            <w:pPr>
              <w:rPr>
                <w:szCs w:val="24"/>
              </w:rPr>
            </w:pPr>
          </w:p>
        </w:tc>
      </w:tr>
      <w:tr w:rsidR="00055680" w:rsidRPr="0097347E" w:rsidTr="007C137B">
        <w:tc>
          <w:tcPr>
            <w:tcW w:w="851" w:type="dxa"/>
          </w:tcPr>
          <w:p w:rsidR="00055680" w:rsidRPr="0097347E" w:rsidRDefault="00055680" w:rsidP="00EF4A24">
            <w:r w:rsidRPr="0097347E">
              <w:t>11.</w:t>
            </w:r>
          </w:p>
        </w:tc>
        <w:tc>
          <w:tcPr>
            <w:tcW w:w="9072" w:type="dxa"/>
            <w:gridSpan w:val="3"/>
          </w:tcPr>
          <w:p w:rsidR="00055680" w:rsidRPr="0097347E" w:rsidRDefault="00055680" w:rsidP="00EF4A24">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rsidTr="007C137B">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Uputa:</w:t>
            </w:r>
          </w:p>
          <w:p w:rsidR="00055680" w:rsidRPr="0097347E" w:rsidRDefault="00055680" w:rsidP="00EF4A24">
            <w:pPr>
              <w:pStyle w:val="ListParagraph"/>
              <w:numPr>
                <w:ilvl w:val="0"/>
                <w:numId w:val="1"/>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EF4A24"/>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0"/>
    <w:rsid w:val="00055680"/>
    <w:rsid w:val="00A70780"/>
    <w:rsid w:val="00CD1D4F"/>
    <w:rsid w:val="00EF4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F6449-19CE-4D85-82A0-185882CC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80"/>
    <w:pPr>
      <w:ind w:left="720"/>
      <w:contextualSpacing/>
    </w:pPr>
  </w:style>
  <w:style w:type="table" w:styleId="TableGrid">
    <w:name w:val="Table Grid"/>
    <w:basedOn w:val="TableNormal"/>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5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Boris Zelenika</cp:lastModifiedBy>
  <cp:revision>3</cp:revision>
  <dcterms:created xsi:type="dcterms:W3CDTF">2017-06-07T20:39:00Z</dcterms:created>
  <dcterms:modified xsi:type="dcterms:W3CDTF">2017-10-13T13:32:00Z</dcterms:modified>
</cp:coreProperties>
</file>